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c4d5" w14:textId="ad5c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Бокейординского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Бокейординского района Западно-Казахстанской области от 22 мая 2023 года № 63. Зарегистрировано Департаментом юстиции Западно-Казахстанской области 26 мая 2023 года № 7171-07. Утратило силу постановлением акимата Бокейординского района Западно-Казахстанской области от 25 июля 2024 года № 123</w:t>
      </w:r>
    </w:p>
    <w:p>
      <w:pPr>
        <w:spacing w:after="0"/>
        <w:ind w:left="0"/>
        <w:jc w:val="both"/>
      </w:pPr>
      <w:r>
        <w:rPr>
          <w:rFonts w:ascii="Times New Roman"/>
          <w:b w:val="false"/>
          <w:i w:val="false"/>
          <w:color w:val="ff0000"/>
          <w:sz w:val="28"/>
        </w:rPr>
        <w:t xml:space="preserve">
      Сноска. Утратило силу постановлением акимата Бокейординского района Западно-Казахстанской области от 25.07.2024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Бокейординского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Бокейординского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Б.Менешова.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Бокейординского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 Бокейординского района</w:t>
            </w:r>
            <w:r>
              <w:br/>
            </w:r>
            <w:r>
              <w:rPr>
                <w:rFonts w:ascii="Times New Roman"/>
                <w:b w:val="false"/>
                <w:i w:val="false"/>
                <w:color w:val="000000"/>
                <w:sz w:val="20"/>
              </w:rPr>
              <w:t>от 22 мая 2023 года № 63</w:t>
            </w:r>
          </w:p>
        </w:tc>
      </w:tr>
    </w:tbl>
    <w:bookmarkStart w:name="z9"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Бокейординского района</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Бокейординского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Бокейординского района.</w:t>
      </w:r>
    </w:p>
    <w:bookmarkEnd w:id="6"/>
    <w:bookmarkStart w:name="z12"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13"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4"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5"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6"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7"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8"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19"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0"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1"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2"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3" w:id="18"/>
    <w:p>
      <w:pPr>
        <w:spacing w:after="0"/>
        <w:ind w:left="0"/>
        <w:jc w:val="both"/>
      </w:pPr>
      <w:r>
        <w:rPr>
          <w:rFonts w:ascii="Times New Roman"/>
          <w:b w:val="false"/>
          <w:i w:val="false"/>
          <w:color w:val="000000"/>
          <w:sz w:val="28"/>
        </w:rPr>
        <w:t>
      3. Государственное учреждение "Бокейординский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Бокейординского района единого архитектурного облика.</w:t>
      </w:r>
    </w:p>
    <w:bookmarkEnd w:id="18"/>
    <w:bookmarkStart w:name="z24" w:id="19"/>
    <w:p>
      <w:pPr>
        <w:spacing w:after="0"/>
        <w:ind w:left="0"/>
        <w:jc w:val="both"/>
      </w:pPr>
      <w:r>
        <w:rPr>
          <w:rFonts w:ascii="Times New Roman"/>
          <w:b w:val="false"/>
          <w:i w:val="false"/>
          <w:color w:val="000000"/>
          <w:sz w:val="28"/>
        </w:rPr>
        <w:t xml:space="preserve">
      4. Государственное учреждение "Бокейординский районный отдел архитектуры, градостроительства и 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Бокейординского района.</w:t>
      </w:r>
    </w:p>
    <w:bookmarkEnd w:id="19"/>
    <w:bookmarkStart w:name="z25" w:id="20"/>
    <w:p>
      <w:pPr>
        <w:spacing w:after="0"/>
        <w:ind w:left="0"/>
        <w:jc w:val="both"/>
      </w:pPr>
      <w:r>
        <w:rPr>
          <w:rFonts w:ascii="Times New Roman"/>
          <w:b w:val="false"/>
          <w:i w:val="false"/>
          <w:color w:val="000000"/>
          <w:sz w:val="28"/>
        </w:rPr>
        <w:t>
      5. Отдел организует следующие мероприятия:</w:t>
      </w:r>
    </w:p>
    <w:bookmarkEnd w:id="20"/>
    <w:bookmarkStart w:name="z26"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Бокейординского района на официальном интернет-ресурсе акимата Бокейординского района;</w:t>
      </w:r>
    </w:p>
    <w:bookmarkEnd w:id="21"/>
    <w:bookmarkStart w:name="z27"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8"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29"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0"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проводятся.</w:t>
      </w:r>
    </w:p>
    <w:bookmarkEnd w:id="25"/>
    <w:bookmarkStart w:name="z31"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вида ремонта (текущий или капитальный) и установления степени их физического износа.</w:t>
      </w:r>
    </w:p>
    <w:bookmarkEnd w:id="26"/>
    <w:bookmarkStart w:name="z32"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3"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вида ремонта (текущий или капитальный) осуществляется в соответствии с законодательством о государственных закупках.</w:t>
      </w:r>
    </w:p>
    <w:bookmarkEnd w:id="28"/>
    <w:bookmarkStart w:name="z34"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5"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6"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7"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38" w:id="33"/>
    <w:p>
      <w:pPr>
        <w:spacing w:after="0"/>
        <w:ind w:left="0"/>
        <w:jc w:val="left"/>
      </w:pPr>
      <w:r>
        <w:rPr>
          <w:rFonts w:ascii="Times New Roman"/>
          <w:b/>
          <w:i w:val="false"/>
          <w:color w:val="000000"/>
        </w:rPr>
        <w:t xml:space="preserve"> Глава 4. Заключительные положения</w:t>
      </w:r>
    </w:p>
    <w:bookmarkEnd w:id="33"/>
    <w:bookmarkStart w:name="z39"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Бокейординского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