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8be7" w14:textId="b5a8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Уланского районного маслихата от 21 февраля 2022 года № 129 "Об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организхаций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w:t>
      </w:r>
    </w:p>
    <w:p>
      <w:pPr>
        <w:spacing w:after="0"/>
        <w:ind w:left="0"/>
        <w:jc w:val="both"/>
      </w:pPr>
      <w:r>
        <w:rPr>
          <w:rFonts w:ascii="Times New Roman"/>
          <w:b w:val="false"/>
          <w:i w:val="false"/>
          <w:color w:val="000000"/>
          <w:sz w:val="28"/>
        </w:rPr>
        <w:t>Решение Уланского районного маслихата Восточно-Казахстанской области от 27 июня 2023 года № 52. Зарегистрировано Департаментом юстиции Восточно-Казахстанской области 4 июля 2023 года № 8881-16</w:t>
      </w:r>
    </w:p>
    <w:p>
      <w:pPr>
        <w:spacing w:after="0"/>
        <w:ind w:left="0"/>
        <w:jc w:val="both"/>
      </w:pPr>
      <w:bookmarkStart w:name="z5" w:id="0"/>
      <w:r>
        <w:rPr>
          <w:rFonts w:ascii="Times New Roman"/>
          <w:b w:val="false"/>
          <w:i w:val="false"/>
          <w:color w:val="000000"/>
          <w:sz w:val="28"/>
        </w:rPr>
        <w:t>
      Уланский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Уланского районного маслихата от 21 февраля 2022 года № 129 "Об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организхаций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 (зарегистрировано в Реестре государственной регистрации нормативных правовых актов под № 26958) следующее изменение: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Уланского района,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либо отделения акционерного общества "Казпочта", путем зачисления на лицевые счета получателей.".</w:t>
      </w:r>
    </w:p>
    <w:bookmarkEnd w:id="3"/>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