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95ac7" w14:textId="da95a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Курчумскому району</w:t>
      </w:r>
    </w:p>
    <w:p>
      <w:pPr>
        <w:spacing w:after="0"/>
        <w:ind w:left="0"/>
        <w:jc w:val="both"/>
      </w:pPr>
      <w:r>
        <w:rPr>
          <w:rFonts w:ascii="Times New Roman"/>
          <w:b w:val="false"/>
          <w:i w:val="false"/>
          <w:color w:val="000000"/>
          <w:sz w:val="28"/>
        </w:rPr>
        <w:t>Постановление акимата Курчумского района Восточно-Казахстанской области от 15 марта 2023 года № 175. Зарегистрировано Департаментом юстиции Восточно-Казахстанской области 17 марта 2023 года № 8823-16</w:t>
      </w:r>
    </w:p>
    <w:p>
      <w:pPr>
        <w:spacing w:after="0"/>
        <w:ind w:left="0"/>
        <w:jc w:val="both"/>
      </w:pPr>
      <w:r>
        <w:rPr>
          <w:rFonts w:ascii="Times New Roman"/>
          <w:b w:val="false"/>
          <w:i w:val="false"/>
          <w:color w:val="ff0000"/>
          <w:sz w:val="28"/>
        </w:rPr>
        <w:t xml:space="preserve">
      Сноска. Заголовок в редакции постановления акимата Курчумского района Восточно-Казахстанской области от 13.03.2025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Курчумского района ПОСТАНОВЛЯЕТ: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Курчумскому району.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акимата Курчумского района Восточно-Казахстанской области от 13.03.2025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0"/>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Курчумского района.</w:t>
      </w:r>
    </w:p>
    <w:bookmarkEnd w:id="0"/>
    <w:bookmarkStart w:name="z8" w:id="1"/>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Курчумского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Акышов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Утвержлено постановлением </w:t>
            </w:r>
            <w:r>
              <w:br/>
            </w:r>
            <w:r>
              <w:rPr>
                <w:rFonts w:ascii="Times New Roman"/>
                <w:b w:val="false"/>
                <w:i w:val="false"/>
                <w:color w:val="000000"/>
                <w:sz w:val="20"/>
              </w:rPr>
              <w:t xml:space="preserve">акимата Курчумского района </w:t>
            </w:r>
            <w:r>
              <w:br/>
            </w:r>
            <w:r>
              <w:rPr>
                <w:rFonts w:ascii="Times New Roman"/>
                <w:b w:val="false"/>
                <w:i w:val="false"/>
                <w:color w:val="000000"/>
                <w:sz w:val="20"/>
              </w:rPr>
              <w:t>от 15 марта 2023 года № 175</w:t>
            </w:r>
          </w:p>
        </w:tc>
      </w:tr>
    </w:tbl>
    <w:bookmarkStart w:name="z11" w:id="2"/>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Курчумскому району</w:t>
      </w:r>
    </w:p>
    <w:bookmarkEnd w:id="2"/>
    <w:p>
      <w:pPr>
        <w:spacing w:after="0"/>
        <w:ind w:left="0"/>
        <w:jc w:val="both"/>
      </w:pPr>
      <w:r>
        <w:rPr>
          <w:rFonts w:ascii="Times New Roman"/>
          <w:b w:val="false"/>
          <w:i w:val="false"/>
          <w:color w:val="ff0000"/>
          <w:sz w:val="28"/>
        </w:rPr>
        <w:t xml:space="preserve">
      Сноска. Правила в редакции постановления акимата Курчумского района Восточно-Казахстанской области от 13.03.2025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Курчумскому району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(далее – Закон),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Курчумскому району.</w:t>
      </w:r>
    </w:p>
    <w:bookmarkStart w:name="z19" w:id="3"/>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3"/>
    <w:bookmarkStart w:name="z20" w:id="4"/>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Start w:name="z22" w:id="5"/>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5"/>
    <w:bookmarkStart w:name="z23" w:id="6"/>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Start w:name="z25" w:id="7"/>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7"/>
    <w:bookmarkStart w:name="z26" w:id="8"/>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кондоминиум многоквартирного жилого дома (далее - кондоминиум) - форма собственности, зарегистрированная в порядке, определенном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Start w:name="z28" w:id="9"/>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9"/>
    <w:bookmarkStart w:name="z29" w:id="10"/>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10"/>
    <w:bookmarkStart w:name="z30" w:id="11"/>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11"/>
    <w:bookmarkStart w:name="z31" w:id="12"/>
    <w:p>
      <w:pPr>
        <w:spacing w:after="0"/>
        <w:ind w:left="0"/>
        <w:jc w:val="both"/>
      </w:pPr>
      <w:r>
        <w:rPr>
          <w:rFonts w:ascii="Times New Roman"/>
          <w:b w:val="false"/>
          <w:i w:val="false"/>
          <w:color w:val="000000"/>
          <w:sz w:val="28"/>
        </w:rPr>
        <w:t>
      3. Государственное учреждение "Отдел архитектуры, строительства, жилищно-коммунального хозяйства, пассажирского транспорта и автомобильных дорог Курчумского района" (далее - Отдел) определяет перечень многоквартирных жилых домов, требующих проведения реконструкции, текущему или капитальному ремонту наружных стен, кровли для придания району единого архитектурного облика.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Государственное учреждение "Отдел архитектуры, строительства, жилищно-коммунального хозяйства, пассажирского транспорта и автомобильных дорог Курчумского района"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района.</w:t>
      </w:r>
    </w:p>
    <w:bookmarkStart w:name="z33" w:id="13"/>
    <w:p>
      <w:pPr>
        <w:spacing w:after="0"/>
        <w:ind w:left="0"/>
        <w:jc w:val="both"/>
      </w:pPr>
      <w:r>
        <w:rPr>
          <w:rFonts w:ascii="Times New Roman"/>
          <w:b w:val="false"/>
          <w:i w:val="false"/>
          <w:color w:val="000000"/>
          <w:sz w:val="28"/>
        </w:rPr>
        <w:t>
      5. Отдел организует следующие мероприятия:</w:t>
      </w:r>
    </w:p>
    <w:bookmarkEnd w:id="13"/>
    <w:bookmarkStart w:name="z34" w:id="14"/>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14"/>
    <w:bookmarkStart w:name="z35" w:id="15"/>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15"/>
    <w:bookmarkStart w:name="z36" w:id="16"/>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мероприятий по реконструкции, текущему или капитальному ремонту наружных стен, кровли многоквартирных жилых домов.</w:t>
      </w:r>
    </w:p>
    <w:bookmarkEnd w:id="16"/>
    <w:bookmarkStart w:name="z37" w:id="17"/>
    <w:p>
      <w:pPr>
        <w:spacing w:after="0"/>
        <w:ind w:left="0"/>
        <w:jc w:val="both"/>
      </w:pPr>
      <w:r>
        <w:rPr>
          <w:rFonts w:ascii="Times New Roman"/>
          <w:b w:val="false"/>
          <w:i w:val="false"/>
          <w:color w:val="000000"/>
          <w:sz w:val="28"/>
        </w:rPr>
        <w:t>
      6. Собрание принимает решение при согласии большинства от общего числа собственников квартир, нежилых помещений.</w:t>
      </w:r>
    </w:p>
    <w:bookmarkEnd w:id="17"/>
    <w:bookmarkStart w:name="z38" w:id="18"/>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bookmarkEnd w:id="18"/>
    <w:bookmarkStart w:name="z39" w:id="19"/>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и установления степени их физического износа.</w:t>
      </w:r>
    </w:p>
    <w:bookmarkEnd w:id="19"/>
    <w:bookmarkStart w:name="z40" w:id="20"/>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20"/>
    <w:p>
      <w:pPr>
        <w:spacing w:after="0"/>
        <w:ind w:left="0"/>
        <w:jc w:val="left"/>
      </w:pPr>
    </w:p>
    <w:p>
      <w:pPr>
        <w:spacing w:after="0"/>
        <w:ind w:left="0"/>
        <w:jc w:val="both"/>
      </w:pPr>
      <w:r>
        <w:rPr>
          <w:rFonts w:ascii="Times New Roman"/>
          <w:b w:val="false"/>
          <w:i w:val="false"/>
          <w:color w:val="000000"/>
          <w:sz w:val="28"/>
        </w:rPr>
        <w:t xml:space="preserve">
      9. Выбор организации по обследованию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Start w:name="z42" w:id="21"/>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многоквартирных жилых домов Отдел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многоквартирных жилых домов, направленных на придание единого архитектурного облика району, с последующим получением заключения экспертизы за счет средств местного бюджета.</w:t>
      </w:r>
    </w:p>
    <w:bookmarkEnd w:id="21"/>
    <w:bookmarkStart w:name="z43" w:id="22"/>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реконструкции,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Start w:name="z45" w:id="23"/>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23"/>
    <w:bookmarkStart w:name="z46" w:id="24"/>
    <w:p>
      <w:pPr>
        <w:spacing w:after="0"/>
        <w:ind w:left="0"/>
        <w:jc w:val="left"/>
      </w:pPr>
      <w:r>
        <w:rPr>
          <w:rFonts w:ascii="Times New Roman"/>
          <w:b/>
          <w:i w:val="false"/>
          <w:color w:val="000000"/>
        </w:rPr>
        <w:t xml:space="preserve"> Глава 4. Заключительные положения</w:t>
      </w:r>
    </w:p>
    <w:bookmarkEnd w:id="24"/>
    <w:bookmarkStart w:name="z47" w:id="25"/>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Курчумскому району, осуществляется из средств местного бюджета.</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