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36c5" w14:textId="c573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30 ноября 2016 года № 7/4-VI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Глубоковском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5 июля 2023 года № 3/7-VIII. Зарегистрировано Департаментом юстиции Восточно-Казахстанской области 31 июля 2023 года № 8891-16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30 ноября 2016 года № 7/4-VI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Глубоковском районе" (зарегистрировано в Реестре государственной регистрации нормативных правовых актов под № 4795)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внесено изменение на государственном языке,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внесено изменение на государственном языке, текст на русском языке не изменяется;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Глубоковского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7/4-VI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Глубоковском районе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Глубоковском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Глубоковского района"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производится ежемесячно на каждого ребенка в размере 10 (десяти) месячных расчетных показателей,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лет; окончания срока инвалидности, в период обучения ребенка с инвалидностью в государственных учреждениях;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Основания для отказа и перечень документов, необходимых для возмещения затрат на обучение, указаны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