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40ee" w14:textId="8a34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апреля 2023 года № 59. Зарегистрировано Департаментом юстиции Туркестанской области 13 апреля 2023 года № 6252-13.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№ 18404),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кило-грамм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4 001 819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11 650 825,0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получателям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18 месяцев на момент подачи заявки не менее 400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состоянии животноводства"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18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ведении в селекционной и племенной работе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 скота);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состоянии животноводства"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12 месяцев не менее 200 голов на момент подачи заявки (в случае если поголовья закреплено за сельскохозяйственным кооперативом не менее 500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ведении в селекционной и племенной работе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мелкого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 скота);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состоянии животноводства"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36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сельскохозяйственного кооператива – соответствие сведений по членам сельскохозяйственного кооператива сведениям о владельцах маточного поголовья лошадей;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состоянии животноводства"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36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верблюдов;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состоянии животноводства"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