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2711" w14:textId="3722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Кызылкогинского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22 ноября 2023 года № 215. Зарегистрировано в Департаменте юстиции Атырауской области 29 ноября 2023 года № 5101-06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(зарегистрированное в Реестре государственной регистрации нормативных правовых актов № 11148) акимат Кызылкогинского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Кызылкогинского района Атырауской области от 09.10.2024 № 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Кызылкогинского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постанавлению.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27 октября 2020 года № 184 "Об определении специально отведенных мест для осуществления выездной торговли с автолавок и (или) палаток (павильонов) субъектам внутренней торговли на территории Кызылкогинского района" (зарегистрированное в Реестре государственной регистрации нормативных правовых актов № 4777).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215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Кызылкогинского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Мукур, улица Г.Есенгалиева, № 12Б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"Бәйтерек"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улица А.Кунанбаева, № 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Тасшагиль, улица Ж.Жабаева,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Жангельдин, улица М.Лукпанова, № 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Жангельдин, улица Д.Асангалиева, № 22А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Сагиз, по улице А.Аширева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Коныстану, по улице К.Жагалбаева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Карабау, улица А.Игиликулы, № 11Б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"Мерейлім"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Миялы, переулок улиц А.Куттыбаевой и М.Ауезова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Миялы, по улице М.Монкеулы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Жаскайрат, улица К.Карасартова, № 11А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"Анашым"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Тайсойган, улица Г.Сланова,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