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9a06" w14:textId="b83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Кызылкогинского районного маслихата от 18 ноября 2015 года № ХХХV-2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сентября 2023 года № 8-2. Зарегистрировано в Департаменте юстиции Атырауской области 29 сентября 2023 года № 5088-06. Утратило силу решением Кызылкогинского районного маслихата Атырауской области от 26 декабря 2023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26.12.2023 № </w:t>
      </w:r>
      <w:r>
        <w:rPr>
          <w:rFonts w:ascii="Times New Roman"/>
          <w:b w:val="false"/>
          <w:i w:val="false"/>
          <w:color w:val="ff0000"/>
          <w:sz w:val="28"/>
        </w:rPr>
        <w:t>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районе" от 18 ноября 2015 года № ХХХV-2 (зарегистрировано в Реестре государственной регистрации нормативных правовых актов № 3384)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ХХХV-2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"Кызылкогинский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иных законных представителей детей с инвалидностью,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в течение учебного года равен 5 (пяти) месячному расчетному показателю, ежемесячно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