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7e66" w14:textId="2267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мая 2023 года № 87. Зарегистрировано в Департаменте юстиции Атырауской области 1 июня 2023 года № 5032-06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 на субсидирование удобрений (за исключением органических)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87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87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75 121 000,0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