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e94" w14:textId="10de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№ 89 от 8 апреля 2019 года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 июня 2023 года № 207. Зарегистрировано Департаментом юстиции Северо-Казахстанской области 6 июня 2023 года № 7522-15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8 апреля 2019 года № 89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области" (зарегистрировано в Реестре государственной регистрации нормативных правовых актов под № 5331)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Айыртауского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89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районов и городов;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 Центра занятости районного значения;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- специалисты высшего уровня квалификации высшей, первой, второй категории и без категории;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 центра занятости населения;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структурного подразделения центра (службы) занятости - специалисты высшего, среднего уровня квалификации высшей, первой, второй категории и без категории.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 государственного учреждения и государственного казенного предприятия районного значения;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 - специалисты высшего, среднего уровня квалификации высшей, первой, второй категории и без категории;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 - специалисты высшего, среднего уровня квалификации высшей, первой, второй категории и без категории;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–специалисты высшего, среднего уровня квалификации высшей, первой, второй категории и без категории;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звукозаписи;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культорганизатор(основных служб) –специалисты высшего, среднего уровня квалификации высшей, первой, второй категории и без категории;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 - специалисты высшего, среднего уровня квалификации высшей, первой, второй категории и без категории;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среднего уровня квалификации без категории;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 – специалисты среднего уровня квалификации без категории.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