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c06d" w14:textId="ef8c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дизайн-кода города Алматы</w:t>
      </w:r>
    </w:p>
    <w:p>
      <w:pPr>
        <w:spacing w:after="0"/>
        <w:ind w:left="0"/>
        <w:jc w:val="both"/>
      </w:pPr>
      <w:r>
        <w:rPr>
          <w:rFonts w:ascii="Times New Roman"/>
          <w:b w:val="false"/>
          <w:i w:val="false"/>
          <w:color w:val="000000"/>
          <w:sz w:val="28"/>
        </w:rPr>
        <w:t>Решение XIII сессии маслихата города Алматы VIII созыва от 29 декабря 2023 года № 82. Зарегистрировано в Департаменте юстиции города Алматы 12 января 2024 года № 1751</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 статьи 3</w:t>
      </w:r>
      <w:r>
        <w:rPr>
          <w:rFonts w:ascii="Times New Roman"/>
          <w:b w:val="false"/>
          <w:i w:val="false"/>
          <w:color w:val="000000"/>
          <w:sz w:val="28"/>
        </w:rPr>
        <w:t xml:space="preserve"> Закона Республики Казахстан "Об особом статусе города Алматы", маслихат города Алматы РЕШИЛ:</w:t>
      </w:r>
    </w:p>
    <w:bookmarkStart w:name="z1" w:id="0"/>
    <w:p>
      <w:pPr>
        <w:spacing w:after="0"/>
        <w:ind w:left="0"/>
        <w:jc w:val="both"/>
      </w:pPr>
      <w:r>
        <w:rPr>
          <w:rFonts w:ascii="Times New Roman"/>
          <w:b w:val="false"/>
          <w:i w:val="false"/>
          <w:color w:val="000000"/>
          <w:sz w:val="28"/>
        </w:rPr>
        <w:t>
      1. Утвердить прилагаемый дизайн-код города Алматы.</w:t>
      </w:r>
    </w:p>
    <w:bookmarkEnd w:id="0"/>
    <w:bookmarkStart w:name="z2" w:id="1"/>
    <w:p>
      <w:pPr>
        <w:spacing w:after="0"/>
        <w:ind w:left="0"/>
        <w:jc w:val="both"/>
      </w:pPr>
      <w:r>
        <w:rPr>
          <w:rFonts w:ascii="Times New Roman"/>
          <w:b w:val="false"/>
          <w:i w:val="false"/>
          <w:color w:val="000000"/>
          <w:sz w:val="28"/>
        </w:rPr>
        <w:t>
      2. Настоящее решение вводится в действие по истечении шестидесяти календарных дней после дня его первого официального опубликования, за исключением существующих объектов (субъектов) на которые требования настоящего решения распространяются с 1 сентября 2025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29 декабря 2023 года № 82</w:t>
            </w:r>
          </w:p>
        </w:tc>
      </w:tr>
    </w:tbl>
    <w:p>
      <w:pPr>
        <w:spacing w:after="0"/>
        <w:ind w:left="0"/>
        <w:jc w:val="left"/>
      </w:pPr>
      <w:r>
        <w:rPr>
          <w:rFonts w:ascii="Times New Roman"/>
          <w:b/>
          <w:i w:val="false"/>
          <w:color w:val="000000"/>
        </w:rPr>
        <w:t xml:space="preserve"> Дизайн-код города Алматы</w:t>
      </w:r>
    </w:p>
    <w:bookmarkStart w:name="z3" w:id="2"/>
    <w:p>
      <w:pPr>
        <w:spacing w:after="0"/>
        <w:ind w:left="0"/>
        <w:jc w:val="left"/>
      </w:pPr>
      <w:r>
        <w:rPr>
          <w:rFonts w:ascii="Times New Roman"/>
          <w:b/>
          <w:i w:val="false"/>
          <w:color w:val="000000"/>
        </w:rPr>
        <w:t xml:space="preserve"> Глава 1. Общие положения</w:t>
      </w:r>
    </w:p>
    <w:bookmarkEnd w:id="2"/>
    <w:bookmarkStart w:name="z4" w:id="3"/>
    <w:p>
      <w:pPr>
        <w:spacing w:after="0"/>
        <w:ind w:left="0"/>
        <w:jc w:val="both"/>
      </w:pPr>
      <w:r>
        <w:rPr>
          <w:rFonts w:ascii="Times New Roman"/>
          <w:b w:val="false"/>
          <w:i w:val="false"/>
          <w:color w:val="000000"/>
          <w:sz w:val="28"/>
        </w:rPr>
        <w:t xml:space="preserve">
      1. Дизайн-код города Алматы (далее – Дизайн-код) разработан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особом статусе города Алматы",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определяет порядок формирования архитектурного стиля города Алматы с учетом исторических, ландшафтно-природных, функциональных, местных особенностей и современных потребностей жителей и гостей города Алматы.</w:t>
      </w:r>
    </w:p>
    <w:bookmarkEnd w:id="3"/>
    <w:bookmarkStart w:name="z5" w:id="4"/>
    <w:p>
      <w:pPr>
        <w:spacing w:after="0"/>
        <w:ind w:left="0"/>
        <w:jc w:val="both"/>
      </w:pPr>
      <w:r>
        <w:rPr>
          <w:rFonts w:ascii="Times New Roman"/>
          <w:b w:val="false"/>
          <w:i w:val="false"/>
          <w:color w:val="000000"/>
          <w:sz w:val="28"/>
        </w:rPr>
        <w:t>
      2. В настоящем документе используются следующие понятия:</w:t>
      </w:r>
    </w:p>
    <w:bookmarkEnd w:id="4"/>
    <w:p>
      <w:pPr>
        <w:spacing w:after="0"/>
        <w:ind w:left="0"/>
        <w:jc w:val="both"/>
      </w:pPr>
      <w:r>
        <w:rPr>
          <w:rFonts w:ascii="Times New Roman"/>
          <w:b w:val="false"/>
          <w:i w:val="false"/>
          <w:color w:val="000000"/>
          <w:sz w:val="28"/>
        </w:rPr>
        <w:t>
      1) информационные сооружения - различного рода объемные или плоскостные объекты, предназначенные для нанесения, размещения или отображения на них информации любого характера, в том числе экраны и электронные табло для отображения видеоизображений, за исключением наружной (визуальной) рекламы;</w:t>
      </w:r>
    </w:p>
    <w:p>
      <w:pPr>
        <w:spacing w:after="0"/>
        <w:ind w:left="0"/>
        <w:jc w:val="both"/>
      </w:pPr>
      <w:r>
        <w:rPr>
          <w:rFonts w:ascii="Times New Roman"/>
          <w:b w:val="false"/>
          <w:i w:val="false"/>
          <w:color w:val="000000"/>
          <w:sz w:val="28"/>
        </w:rPr>
        <w:t>
      2)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3)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имеет художественно-эстетическое, декоративно-прикладное либо мемориальное назначение;</w:t>
      </w:r>
    </w:p>
    <w:p>
      <w:pPr>
        <w:spacing w:after="0"/>
        <w:ind w:left="0"/>
        <w:jc w:val="both"/>
      </w:pPr>
      <w:r>
        <w:rPr>
          <w:rFonts w:ascii="Times New Roman"/>
          <w:b w:val="false"/>
          <w:i w:val="false"/>
          <w:color w:val="000000"/>
          <w:sz w:val="28"/>
        </w:rPr>
        <w:t>
      4) дизайн код – это свод требований, регламентирующих обязательную визуальную составляющую элементов городского пространства: фасадов зданий и сооружений, благоустройства, вывесок, указателей, малых архитектурных форм и элементов городской инфраструктуры, направленных на формирование целостной эстетичной архитектуры, комфортной, доступной и безопасной городской среды;</w:t>
      </w:r>
    </w:p>
    <w:p>
      <w:pPr>
        <w:spacing w:after="0"/>
        <w:ind w:left="0"/>
        <w:jc w:val="both"/>
      </w:pPr>
      <w:r>
        <w:rPr>
          <w:rFonts w:ascii="Times New Roman"/>
          <w:b w:val="false"/>
          <w:i w:val="false"/>
          <w:color w:val="000000"/>
          <w:sz w:val="28"/>
        </w:rPr>
        <w:t>
      5) уличная мебель (оборудование, малые архитектурные формы) – объекты декоративного характера и практического использования (вазы для цветов, павильоны, беседки, скамьи, урны, остановки общественного транспорта, информационная панель, оборудование и конструкции для игр детей и отдыха взрослого населения), устанавливаемые в населенных пунктах на открытом пространстве за пределами помещений;</w:t>
      </w:r>
    </w:p>
    <w:p>
      <w:pPr>
        <w:spacing w:after="0"/>
        <w:ind w:left="0"/>
        <w:jc w:val="both"/>
      </w:pPr>
      <w:r>
        <w:rPr>
          <w:rFonts w:ascii="Times New Roman"/>
          <w:b w:val="false"/>
          <w:i w:val="false"/>
          <w:color w:val="000000"/>
          <w:sz w:val="28"/>
        </w:rPr>
        <w:t>
      6) уличная навигация – это система указателей, информационных стендов и панелей с картами, указывающими на местонахождение, направление в ближайшие точки достопримечательностей и другие маршруты;</w:t>
      </w:r>
    </w:p>
    <w:p>
      <w:pPr>
        <w:spacing w:after="0"/>
        <w:ind w:left="0"/>
        <w:jc w:val="both"/>
      </w:pPr>
      <w:r>
        <w:rPr>
          <w:rFonts w:ascii="Times New Roman"/>
          <w:b w:val="false"/>
          <w:i w:val="false"/>
          <w:color w:val="000000"/>
          <w:sz w:val="28"/>
        </w:rPr>
        <w:t>
      7) городское пространство – это социально-культурная среда существования горожан и инфраструктуры города;</w:t>
      </w:r>
    </w:p>
    <w:p>
      <w:pPr>
        <w:spacing w:after="0"/>
        <w:ind w:left="0"/>
        <w:jc w:val="both"/>
      </w:pPr>
      <w:r>
        <w:rPr>
          <w:rFonts w:ascii="Times New Roman"/>
          <w:b w:val="false"/>
          <w:i w:val="false"/>
          <w:color w:val="000000"/>
          <w:sz w:val="28"/>
        </w:rPr>
        <w:t>
      8)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w:t>
      </w:r>
    </w:p>
    <w:p>
      <w:pPr>
        <w:spacing w:after="0"/>
        <w:ind w:left="0"/>
        <w:jc w:val="both"/>
      </w:pPr>
      <w:r>
        <w:rPr>
          <w:rFonts w:ascii="Times New Roman"/>
          <w:b w:val="false"/>
          <w:i w:val="false"/>
          <w:color w:val="000000"/>
          <w:sz w:val="28"/>
        </w:rPr>
        <w:t>
      9) адресная табличка – табличка, размещаемая на фасаде здания, с указанием его номера и названия улицы;</w:t>
      </w:r>
    </w:p>
    <w:p>
      <w:pPr>
        <w:spacing w:after="0"/>
        <w:ind w:left="0"/>
        <w:jc w:val="both"/>
      </w:pPr>
      <w:r>
        <w:rPr>
          <w:rFonts w:ascii="Times New Roman"/>
          <w:b w:val="false"/>
          <w:i w:val="false"/>
          <w:color w:val="000000"/>
          <w:sz w:val="28"/>
        </w:rPr>
        <w:t>
      10) муралы (граффити, стрит-арт) – искусство, изображение или надписи, нарисованные, выцарапанные или написанные красками либо чернилами на стенах фасадов зданий и других поверхностях городского пространства;</w:t>
      </w:r>
    </w:p>
    <w:p>
      <w:pPr>
        <w:spacing w:after="0"/>
        <w:ind w:left="0"/>
        <w:jc w:val="both"/>
      </w:pPr>
      <w:r>
        <w:rPr>
          <w:rFonts w:ascii="Times New Roman"/>
          <w:b w:val="false"/>
          <w:i w:val="false"/>
          <w:color w:val="000000"/>
          <w:sz w:val="28"/>
        </w:rPr>
        <w:t>
      11) указатель – конструкция размером до двух квадратных метров включительно, размещенная на земле или опорах контактной сети и освещения, указывающая место нахождения организации, торгового или иного объекта и расположенная в непосредственной близости от них, содержащая исключительно информацию об их наименовании, средстве индивидуализации (при наличии) и навигации;</w:t>
      </w:r>
    </w:p>
    <w:p>
      <w:pPr>
        <w:spacing w:after="0"/>
        <w:ind w:left="0"/>
        <w:jc w:val="both"/>
      </w:pPr>
      <w:r>
        <w:rPr>
          <w:rFonts w:ascii="Times New Roman"/>
          <w:b w:val="false"/>
          <w:i w:val="false"/>
          <w:color w:val="000000"/>
          <w:sz w:val="28"/>
        </w:rPr>
        <w:t>
      12) подложка – декоративная рамка для основания вывески;</w:t>
      </w:r>
    </w:p>
    <w:p>
      <w:pPr>
        <w:spacing w:after="0"/>
        <w:ind w:left="0"/>
        <w:jc w:val="both"/>
      </w:pPr>
      <w:r>
        <w:rPr>
          <w:rFonts w:ascii="Times New Roman"/>
          <w:b w:val="false"/>
          <w:i w:val="false"/>
          <w:color w:val="000000"/>
          <w:sz w:val="28"/>
        </w:rPr>
        <w:t>
      13) архитектурно-ландшафтная среда - пространство с сочетанием природных условий и архитектурных форм, в котором человек осуществляет хозяйственную деятельность. Как правило, это среда населенных пунктов, которая определяет условия жизни и психофизическое состояние человека;</w:t>
      </w:r>
    </w:p>
    <w:p>
      <w:pPr>
        <w:spacing w:after="0"/>
        <w:ind w:left="0"/>
        <w:jc w:val="both"/>
      </w:pPr>
      <w:r>
        <w:rPr>
          <w:rFonts w:ascii="Times New Roman"/>
          <w:b w:val="false"/>
          <w:i w:val="false"/>
          <w:color w:val="000000"/>
          <w:sz w:val="28"/>
        </w:rPr>
        <w:t>
      14)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p>
      <w:pPr>
        <w:spacing w:after="0"/>
        <w:ind w:left="0"/>
        <w:jc w:val="both"/>
      </w:pPr>
      <w:r>
        <w:rPr>
          <w:rFonts w:ascii="Times New Roman"/>
          <w:b w:val="false"/>
          <w:i w:val="false"/>
          <w:color w:val="000000"/>
          <w:sz w:val="28"/>
        </w:rPr>
        <w:t>
      15) уполномоченный орган – это структурное подразделение акимата города Алматы, в функции которого входит реализация требований Дизайн-кода;</w:t>
      </w:r>
    </w:p>
    <w:p>
      <w:pPr>
        <w:spacing w:after="0"/>
        <w:ind w:left="0"/>
        <w:jc w:val="both"/>
      </w:pPr>
      <w:r>
        <w:rPr>
          <w:rFonts w:ascii="Times New Roman"/>
          <w:b w:val="false"/>
          <w:i w:val="false"/>
          <w:color w:val="000000"/>
          <w:sz w:val="28"/>
        </w:rPr>
        <w:t>
      16) фриз – горизонтальный плоский участок фасада, подходящий для размещения вывесок. Как правило, располагается над окнами первых этажей, в верхней части фасада малоэтажного здания или на козырьке входной группы;</w:t>
      </w:r>
    </w:p>
    <w:p>
      <w:pPr>
        <w:spacing w:after="0"/>
        <w:ind w:left="0"/>
        <w:jc w:val="both"/>
      </w:pPr>
      <w:r>
        <w:rPr>
          <w:rFonts w:ascii="Times New Roman"/>
          <w:b w:val="false"/>
          <w:i w:val="false"/>
          <w:color w:val="000000"/>
          <w:sz w:val="28"/>
        </w:rPr>
        <w:t>
      17) штендер – выносная информационная конструкция.</w:t>
      </w:r>
    </w:p>
    <w:bookmarkStart w:name="z6" w:id="5"/>
    <w:p>
      <w:pPr>
        <w:spacing w:after="0"/>
        <w:ind w:left="0"/>
        <w:jc w:val="left"/>
      </w:pPr>
      <w:r>
        <w:rPr>
          <w:rFonts w:ascii="Times New Roman"/>
          <w:b/>
          <w:i w:val="false"/>
          <w:color w:val="000000"/>
        </w:rPr>
        <w:t xml:space="preserve"> Глава 2. Основные требования</w:t>
      </w:r>
    </w:p>
    <w:bookmarkEnd w:id="5"/>
    <w:bookmarkStart w:name="z7" w:id="6"/>
    <w:p>
      <w:pPr>
        <w:spacing w:after="0"/>
        <w:ind w:left="0"/>
        <w:jc w:val="both"/>
      </w:pPr>
      <w:r>
        <w:rPr>
          <w:rFonts w:ascii="Times New Roman"/>
          <w:b w:val="false"/>
          <w:i w:val="false"/>
          <w:color w:val="000000"/>
          <w:sz w:val="28"/>
        </w:rPr>
        <w:t>
      3. Дизайн-код включает в себя требования формирования архитектурно-ландшафтной среды, оформления концепции внешнего облика улиц, магистралей, туристских маршрутов, других территорий города и размещения элементов благоустройства, а также требования по оформлению фасадов зданий и сооружений.</w:t>
      </w:r>
    </w:p>
    <w:bookmarkEnd w:id="6"/>
    <w:p>
      <w:pPr>
        <w:spacing w:after="0"/>
        <w:ind w:left="0"/>
        <w:jc w:val="both"/>
      </w:pPr>
      <w:r>
        <w:rPr>
          <w:rFonts w:ascii="Times New Roman"/>
          <w:b w:val="false"/>
          <w:i w:val="false"/>
          <w:color w:val="000000"/>
          <w:sz w:val="28"/>
        </w:rPr>
        <w:t>
      В границах исторического центра (установленных действующим Генеральным планом города Алматы), а также охранных зонах памятников истории и культуры подлежат сохранению все градостроительные объекты и их характеристики, культурная и историческая ценность.</w:t>
      </w:r>
    </w:p>
    <w:bookmarkStart w:name="z8" w:id="7"/>
    <w:p>
      <w:pPr>
        <w:spacing w:after="0"/>
        <w:ind w:left="0"/>
        <w:jc w:val="both"/>
      </w:pPr>
      <w:r>
        <w:rPr>
          <w:rFonts w:ascii="Times New Roman"/>
          <w:b w:val="false"/>
          <w:i w:val="false"/>
          <w:color w:val="000000"/>
          <w:sz w:val="28"/>
        </w:rPr>
        <w:t>
      4. Дизайн-код регулирует отношения, возникающие между государственными органами, организациями всех форм собственности в процессе осуществления архитектурной, градостроительной и строительной деятельности на территории города Алматы, и направлен на формирование комфортной и безопасной городской среды, основные модели территориального планирования и требования к организации планировочной структуры.</w:t>
      </w:r>
    </w:p>
    <w:bookmarkEnd w:id="7"/>
    <w:bookmarkStart w:name="z9" w:id="8"/>
    <w:p>
      <w:pPr>
        <w:spacing w:after="0"/>
        <w:ind w:left="0"/>
        <w:jc w:val="left"/>
      </w:pPr>
      <w:r>
        <w:rPr>
          <w:rFonts w:ascii="Times New Roman"/>
          <w:b/>
          <w:i w:val="false"/>
          <w:color w:val="000000"/>
        </w:rPr>
        <w:t xml:space="preserve"> Глава 3. Наружная (визуальная) информация</w:t>
      </w:r>
    </w:p>
    <w:bookmarkEnd w:id="8"/>
    <w:bookmarkStart w:name="z10" w:id="9"/>
    <w:p>
      <w:pPr>
        <w:spacing w:after="0"/>
        <w:ind w:left="0"/>
        <w:jc w:val="both"/>
      </w:pPr>
      <w:r>
        <w:rPr>
          <w:rFonts w:ascii="Times New Roman"/>
          <w:b w:val="false"/>
          <w:i w:val="false"/>
          <w:color w:val="000000"/>
          <w:sz w:val="28"/>
        </w:rPr>
        <w:t>
      5. Единая гамма цветовой палитры города применяется ко всем элементам городской среды, отделочных материалов зданий, вывесок и информационных сооружений, элементам благоустройства территорий, уличной мебели, нестационарным торговым объектам, велопарковкам, ограждениям, а также инженерным сооружениям.</w:t>
      </w:r>
    </w:p>
    <w:bookmarkEnd w:id="9"/>
    <w:bookmarkStart w:name="z11" w:id="10"/>
    <w:p>
      <w:pPr>
        <w:spacing w:after="0"/>
        <w:ind w:left="0"/>
        <w:jc w:val="both"/>
      </w:pPr>
      <w:r>
        <w:rPr>
          <w:rFonts w:ascii="Times New Roman"/>
          <w:b w:val="false"/>
          <w:i w:val="false"/>
          <w:color w:val="000000"/>
          <w:sz w:val="28"/>
        </w:rPr>
        <w:t>
      6. При оформлении фасадов зданий и сооружений, не допускается использование цветовых решений, несвойственных архитектурному стилю.</w:t>
      </w:r>
    </w:p>
    <w:bookmarkEnd w:id="10"/>
    <w:bookmarkStart w:name="z12" w:id="11"/>
    <w:p>
      <w:pPr>
        <w:spacing w:after="0"/>
        <w:ind w:left="0"/>
        <w:jc w:val="both"/>
      </w:pPr>
      <w:r>
        <w:rPr>
          <w:rFonts w:ascii="Times New Roman"/>
          <w:b w:val="false"/>
          <w:i w:val="false"/>
          <w:color w:val="000000"/>
          <w:sz w:val="28"/>
        </w:rPr>
        <w:t>
      7. Цвета и отделочные материалы нежилых помещений первых и вторых этажей зданий, должны соответствовать архитектурному стилю фасадов и не нарушать целостность восприятия архитектуры здания.</w:t>
      </w:r>
    </w:p>
    <w:bookmarkEnd w:id="11"/>
    <w:bookmarkStart w:name="z13" w:id="12"/>
    <w:p>
      <w:pPr>
        <w:spacing w:after="0"/>
        <w:ind w:left="0"/>
        <w:jc w:val="both"/>
      </w:pPr>
      <w:r>
        <w:rPr>
          <w:rFonts w:ascii="Times New Roman"/>
          <w:b w:val="false"/>
          <w:i w:val="false"/>
          <w:color w:val="000000"/>
          <w:sz w:val="28"/>
        </w:rPr>
        <w:t>
      8. Декоративные элементы на зданиях, представляющих историческую и архитектурную ценность, должны восстанавливаться согласно историческому облику.</w:t>
      </w:r>
    </w:p>
    <w:bookmarkEnd w:id="12"/>
    <w:bookmarkStart w:name="z14" w:id="13"/>
    <w:p>
      <w:pPr>
        <w:spacing w:after="0"/>
        <w:ind w:left="0"/>
        <w:jc w:val="both"/>
      </w:pPr>
      <w:r>
        <w:rPr>
          <w:rFonts w:ascii="Times New Roman"/>
          <w:b w:val="false"/>
          <w:i w:val="false"/>
          <w:color w:val="000000"/>
          <w:sz w:val="28"/>
        </w:rPr>
        <w:t>
      9. Вывески и информационные сооружения на зданиях и сооружениях должны гармонизировать с архитектурным стилем фасада и окружающей городской среды.</w:t>
      </w:r>
    </w:p>
    <w:bookmarkEnd w:id="13"/>
    <w:bookmarkStart w:name="z15" w:id="14"/>
    <w:p>
      <w:pPr>
        <w:spacing w:after="0"/>
        <w:ind w:left="0"/>
        <w:jc w:val="both"/>
      </w:pPr>
      <w:r>
        <w:rPr>
          <w:rFonts w:ascii="Times New Roman"/>
          <w:b w:val="false"/>
          <w:i w:val="false"/>
          <w:color w:val="000000"/>
          <w:sz w:val="28"/>
        </w:rPr>
        <w:t>
      10. Установка вывесок осуществляется по согласованию с уполномоченным органом, путем направления уведомления с приложением эскиза до фактической даты установки.</w:t>
      </w:r>
    </w:p>
    <w:bookmarkEnd w:id="14"/>
    <w:bookmarkStart w:name="z16" w:id="15"/>
    <w:p>
      <w:pPr>
        <w:spacing w:after="0"/>
        <w:ind w:left="0"/>
        <w:jc w:val="both"/>
      </w:pPr>
      <w:r>
        <w:rPr>
          <w:rFonts w:ascii="Times New Roman"/>
          <w:b w:val="false"/>
          <w:i w:val="false"/>
          <w:color w:val="000000"/>
          <w:sz w:val="28"/>
        </w:rPr>
        <w:t xml:space="preserve">
      11. Вывески устанавливаются на фризах, над входной группой (по числу входов), по оси дверного полотна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Дизайн-коду.</w:t>
      </w:r>
    </w:p>
    <w:bookmarkEnd w:id="15"/>
    <w:bookmarkStart w:name="z17" w:id="16"/>
    <w:p>
      <w:pPr>
        <w:spacing w:after="0"/>
        <w:ind w:left="0"/>
        <w:jc w:val="both"/>
      </w:pPr>
      <w:r>
        <w:rPr>
          <w:rFonts w:ascii="Times New Roman"/>
          <w:b w:val="false"/>
          <w:i w:val="false"/>
          <w:color w:val="000000"/>
          <w:sz w:val="28"/>
        </w:rPr>
        <w:t>
      12. Вывески и информационные сооружения на фасадах зданий и сооружений выполняются из дерева с пропиткой, металла, пластика и композитных материалов.</w:t>
      </w:r>
    </w:p>
    <w:bookmarkEnd w:id="16"/>
    <w:bookmarkStart w:name="z18" w:id="17"/>
    <w:p>
      <w:pPr>
        <w:spacing w:after="0"/>
        <w:ind w:left="0"/>
        <w:jc w:val="both"/>
      </w:pPr>
      <w:r>
        <w:rPr>
          <w:rFonts w:ascii="Times New Roman"/>
          <w:b w:val="false"/>
          <w:i w:val="false"/>
          <w:color w:val="000000"/>
          <w:sz w:val="28"/>
        </w:rPr>
        <w:t>
      13. Вывески и информационные сооружения на фасадах зданий и сооружений в формате световых коробов, выполняются из пластика, оргстекла и/или поликарбоната.</w:t>
      </w:r>
    </w:p>
    <w:bookmarkEnd w:id="17"/>
    <w:p>
      <w:pPr>
        <w:spacing w:after="0"/>
        <w:ind w:left="0"/>
        <w:jc w:val="both"/>
      </w:pPr>
      <w:r>
        <w:rPr>
          <w:rFonts w:ascii="Times New Roman"/>
          <w:b w:val="false"/>
          <w:i w:val="false"/>
          <w:color w:val="000000"/>
          <w:sz w:val="28"/>
        </w:rPr>
        <w:t>
      Световой короб должен плотно прилегать к плоскости фасада здания или сооружения. Торцы короба необходимо окрашивать в цвет фасада.</w:t>
      </w:r>
    </w:p>
    <w:bookmarkStart w:name="z19" w:id="18"/>
    <w:p>
      <w:pPr>
        <w:spacing w:after="0"/>
        <w:ind w:left="0"/>
        <w:jc w:val="both"/>
      </w:pPr>
      <w:r>
        <w:rPr>
          <w:rFonts w:ascii="Times New Roman"/>
          <w:b w:val="false"/>
          <w:i w:val="false"/>
          <w:color w:val="000000"/>
          <w:sz w:val="28"/>
        </w:rPr>
        <w:t>
      14. При выполнении объемных букв с внутренней подсветкой, размер толщины букв необходимо устанавливать одну вторую от толщины основного штриха шрифта.</w:t>
      </w:r>
    </w:p>
    <w:bookmarkEnd w:id="18"/>
    <w:bookmarkStart w:name="z20" w:id="19"/>
    <w:p>
      <w:pPr>
        <w:spacing w:after="0"/>
        <w:ind w:left="0"/>
        <w:jc w:val="both"/>
      </w:pPr>
      <w:r>
        <w:rPr>
          <w:rFonts w:ascii="Times New Roman"/>
          <w:b w:val="false"/>
          <w:i w:val="false"/>
          <w:color w:val="000000"/>
          <w:sz w:val="28"/>
        </w:rPr>
        <w:t xml:space="preserve">
      15. Вывески и информационные сооружения организаций расположенных в подвальных и цокольных этажах размещаются над входной группой по оси дверного полотна или на козырьках лестничных пролетов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Дизайн-коду.</w:t>
      </w:r>
    </w:p>
    <w:bookmarkEnd w:id="19"/>
    <w:p>
      <w:pPr>
        <w:spacing w:after="0"/>
        <w:ind w:left="0"/>
        <w:jc w:val="both"/>
      </w:pPr>
      <w:r>
        <w:rPr>
          <w:rFonts w:ascii="Times New Roman"/>
          <w:b w:val="false"/>
          <w:i w:val="false"/>
          <w:color w:val="000000"/>
          <w:sz w:val="28"/>
        </w:rPr>
        <w:t>
      Информационные таблички размещаются на высоте не менее 0,8 метра от дверного порога, без использования подложки и светового короба.</w:t>
      </w:r>
    </w:p>
    <w:bookmarkStart w:name="z21" w:id="20"/>
    <w:p>
      <w:pPr>
        <w:spacing w:after="0"/>
        <w:ind w:left="0"/>
        <w:jc w:val="both"/>
      </w:pPr>
      <w:r>
        <w:rPr>
          <w:rFonts w:ascii="Times New Roman"/>
          <w:b w:val="false"/>
          <w:i w:val="false"/>
          <w:color w:val="000000"/>
          <w:sz w:val="28"/>
        </w:rPr>
        <w:t>
      16. Вывески и информационные сооружения организаций, за исключением государственных органов, расположенных на первых этажах зданий размещаются над входом в помещение по центральной оси дверного проема и по оси фриза или карниза, на высоте не менее 2,5 метров и не более 4,5 метров от дверного порога, на одном уровне со смежными вывесками.</w:t>
      </w:r>
    </w:p>
    <w:bookmarkEnd w:id="20"/>
    <w:bookmarkStart w:name="z22" w:id="21"/>
    <w:p>
      <w:pPr>
        <w:spacing w:after="0"/>
        <w:ind w:left="0"/>
        <w:jc w:val="both"/>
      </w:pPr>
      <w:r>
        <w:rPr>
          <w:rFonts w:ascii="Times New Roman"/>
          <w:b w:val="false"/>
          <w:i w:val="false"/>
          <w:color w:val="000000"/>
          <w:sz w:val="28"/>
        </w:rPr>
        <w:t xml:space="preserve">
      17. Вывески организаций расположенных на вторых этажах зданий не устанавливаются с подложкой, с использованием светового короба, в виде панели-кронштейн и таблички, на высоте от верхней оси оконного проема менее 0,4 метра и более 0,6 метра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Дизайн-коду. Информационные сооружения не размещаются выше уровня второго этажа зданий, за исключением случаев предусмотренных Дизайн-кодом.</w:t>
      </w:r>
    </w:p>
    <w:bookmarkEnd w:id="21"/>
    <w:bookmarkStart w:name="z23" w:id="22"/>
    <w:p>
      <w:pPr>
        <w:spacing w:after="0"/>
        <w:ind w:left="0"/>
        <w:jc w:val="both"/>
      </w:pPr>
      <w:r>
        <w:rPr>
          <w:rFonts w:ascii="Times New Roman"/>
          <w:b w:val="false"/>
          <w:i w:val="false"/>
          <w:color w:val="000000"/>
          <w:sz w:val="28"/>
        </w:rPr>
        <w:t>
      18. Вывески и информационные сооружения организаций, за исключением государственных органов, расположенных в пристройках и отдельно стоящих зданиях размещаются над входом в помещение по центральной оси дверного проема и по оси фриза или карниза.</w:t>
      </w:r>
    </w:p>
    <w:bookmarkEnd w:id="22"/>
    <w:bookmarkStart w:name="z24" w:id="23"/>
    <w:p>
      <w:pPr>
        <w:spacing w:after="0"/>
        <w:ind w:left="0"/>
        <w:jc w:val="both"/>
      </w:pPr>
      <w:r>
        <w:rPr>
          <w:rFonts w:ascii="Times New Roman"/>
          <w:b w:val="false"/>
          <w:i w:val="false"/>
          <w:color w:val="000000"/>
          <w:sz w:val="28"/>
        </w:rPr>
        <w:t xml:space="preserve">
      19. Вывески и информационные сооружения организаций, за исключением государственных органов, расположенных в торговых и многофункциональных центрах размещаются над входными группами, на глухих стенах фасадов, не перекрывая оконные проемы и балконы, а также не нарушая архитектурный облик зданий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Дизайн-коду.</w:t>
      </w:r>
    </w:p>
    <w:bookmarkEnd w:id="23"/>
    <w:bookmarkStart w:name="z25" w:id="24"/>
    <w:p>
      <w:pPr>
        <w:spacing w:after="0"/>
        <w:ind w:left="0"/>
        <w:jc w:val="both"/>
      </w:pPr>
      <w:r>
        <w:rPr>
          <w:rFonts w:ascii="Times New Roman"/>
          <w:b w:val="false"/>
          <w:i w:val="false"/>
          <w:color w:val="000000"/>
          <w:sz w:val="28"/>
        </w:rPr>
        <w:t>
      20. Размещение вывесок и информационных сооружений не допускается:</w:t>
      </w:r>
    </w:p>
    <w:bookmarkEnd w:id="24"/>
    <w:p>
      <w:pPr>
        <w:spacing w:after="0"/>
        <w:ind w:left="0"/>
        <w:jc w:val="both"/>
      </w:pPr>
      <w:r>
        <w:rPr>
          <w:rFonts w:ascii="Times New Roman"/>
          <w:b w:val="false"/>
          <w:i w:val="false"/>
          <w:color w:val="000000"/>
          <w:sz w:val="28"/>
        </w:rPr>
        <w:t>
      1) за пределами входной группы в помещение, за исключением крышных и фасадных установок на нежилых объектах;</w:t>
      </w:r>
    </w:p>
    <w:p>
      <w:pPr>
        <w:spacing w:after="0"/>
        <w:ind w:left="0"/>
        <w:jc w:val="both"/>
      </w:pPr>
      <w:r>
        <w:rPr>
          <w:rFonts w:ascii="Times New Roman"/>
          <w:b w:val="false"/>
          <w:i w:val="false"/>
          <w:color w:val="000000"/>
          <w:sz w:val="28"/>
        </w:rPr>
        <w:t>
      2) с использованием электронных табло (за исключением крышных и фасадных установок), либо бегущих строк;</w:t>
      </w:r>
    </w:p>
    <w:p>
      <w:pPr>
        <w:spacing w:after="0"/>
        <w:ind w:left="0"/>
        <w:jc w:val="both"/>
      </w:pPr>
      <w:r>
        <w:rPr>
          <w:rFonts w:ascii="Times New Roman"/>
          <w:b w:val="false"/>
          <w:i w:val="false"/>
          <w:color w:val="000000"/>
          <w:sz w:val="28"/>
        </w:rPr>
        <w:t>
      3) на ограждениях и плитах балконов, на лоджиях и эркерах;</w:t>
      </w:r>
    </w:p>
    <w:p>
      <w:pPr>
        <w:spacing w:after="0"/>
        <w:ind w:left="0"/>
        <w:jc w:val="both"/>
      </w:pPr>
      <w:r>
        <w:rPr>
          <w:rFonts w:ascii="Times New Roman"/>
          <w:b w:val="false"/>
          <w:i w:val="false"/>
          <w:color w:val="000000"/>
          <w:sz w:val="28"/>
        </w:rPr>
        <w:t>
      4) путем перекрытия архитектурных элементов и облика здания;</w:t>
      </w:r>
    </w:p>
    <w:p>
      <w:pPr>
        <w:spacing w:after="0"/>
        <w:ind w:left="0"/>
        <w:jc w:val="both"/>
      </w:pPr>
      <w:r>
        <w:rPr>
          <w:rFonts w:ascii="Times New Roman"/>
          <w:b w:val="false"/>
          <w:i w:val="false"/>
          <w:color w:val="000000"/>
          <w:sz w:val="28"/>
        </w:rPr>
        <w:t>
      5) на оконных проемах и витринах, перекрывая площадь более 30% проема;</w:t>
      </w:r>
    </w:p>
    <w:p>
      <w:pPr>
        <w:spacing w:after="0"/>
        <w:ind w:left="0"/>
        <w:jc w:val="both"/>
      </w:pPr>
      <w:r>
        <w:rPr>
          <w:rFonts w:ascii="Times New Roman"/>
          <w:b w:val="false"/>
          <w:i w:val="false"/>
          <w:color w:val="000000"/>
          <w:sz w:val="28"/>
        </w:rPr>
        <w:t>
      6) с выступом за боковые пределы фасада и плоскости фасада;</w:t>
      </w:r>
    </w:p>
    <w:p>
      <w:pPr>
        <w:spacing w:after="0"/>
        <w:ind w:left="0"/>
        <w:jc w:val="both"/>
      </w:pPr>
      <w:r>
        <w:rPr>
          <w:rFonts w:ascii="Times New Roman"/>
          <w:b w:val="false"/>
          <w:i w:val="false"/>
          <w:color w:val="000000"/>
          <w:sz w:val="28"/>
        </w:rPr>
        <w:t>
      7) в пределах входов подъездов жилых домов;</w:t>
      </w:r>
    </w:p>
    <w:p>
      <w:pPr>
        <w:spacing w:after="0"/>
        <w:ind w:left="0"/>
        <w:jc w:val="both"/>
      </w:pPr>
      <w:r>
        <w:rPr>
          <w:rFonts w:ascii="Times New Roman"/>
          <w:b w:val="false"/>
          <w:i w:val="false"/>
          <w:color w:val="000000"/>
          <w:sz w:val="28"/>
        </w:rPr>
        <w:t>
      8) в вертикальном направлении;</w:t>
      </w:r>
    </w:p>
    <w:p>
      <w:pPr>
        <w:spacing w:after="0"/>
        <w:ind w:left="0"/>
        <w:jc w:val="both"/>
      </w:pPr>
      <w:r>
        <w:rPr>
          <w:rFonts w:ascii="Times New Roman"/>
          <w:b w:val="false"/>
          <w:i w:val="false"/>
          <w:color w:val="000000"/>
          <w:sz w:val="28"/>
        </w:rPr>
        <w:t>
      9) в количестве более 1 (одной) единицы по числу входов.</w:t>
      </w:r>
    </w:p>
    <w:bookmarkStart w:name="z26" w:id="25"/>
    <w:p>
      <w:pPr>
        <w:spacing w:after="0"/>
        <w:ind w:left="0"/>
        <w:jc w:val="both"/>
      </w:pPr>
      <w:r>
        <w:rPr>
          <w:rFonts w:ascii="Times New Roman"/>
          <w:b w:val="false"/>
          <w:i w:val="false"/>
          <w:color w:val="000000"/>
          <w:sz w:val="28"/>
        </w:rPr>
        <w:t>
      21. Информационные таблички необходимо размещать в пределах входных групп организаций, на высоте не менее 0,8 метров от уровня нижнего края дверного полотна.</w:t>
      </w:r>
    </w:p>
    <w:bookmarkEnd w:id="25"/>
    <w:bookmarkStart w:name="z27" w:id="26"/>
    <w:p>
      <w:pPr>
        <w:spacing w:after="0"/>
        <w:ind w:left="0"/>
        <w:jc w:val="both"/>
      </w:pPr>
      <w:r>
        <w:rPr>
          <w:rFonts w:ascii="Times New Roman"/>
          <w:b w:val="false"/>
          <w:i w:val="false"/>
          <w:color w:val="000000"/>
          <w:sz w:val="28"/>
        </w:rPr>
        <w:t>
      22. Вывеска на нестационарном торговом объекте устанавливается в специально отведенном месте фасадной части, в количестве не более 1 (одной) единицы.</w:t>
      </w:r>
    </w:p>
    <w:bookmarkEnd w:id="26"/>
    <w:bookmarkStart w:name="z28" w:id="27"/>
    <w:p>
      <w:pPr>
        <w:spacing w:after="0"/>
        <w:ind w:left="0"/>
        <w:jc w:val="both"/>
      </w:pPr>
      <w:r>
        <w:rPr>
          <w:rFonts w:ascii="Times New Roman"/>
          <w:b w:val="false"/>
          <w:i w:val="false"/>
          <w:color w:val="000000"/>
          <w:sz w:val="28"/>
        </w:rPr>
        <w:t>
      23. Реконструкция остановок общественного транспорта проводится по согласованию с уполномоченным органом.</w:t>
      </w:r>
    </w:p>
    <w:bookmarkEnd w:id="27"/>
    <w:bookmarkStart w:name="z29" w:id="28"/>
    <w:p>
      <w:pPr>
        <w:spacing w:after="0"/>
        <w:ind w:left="0"/>
        <w:jc w:val="both"/>
      </w:pPr>
      <w:r>
        <w:rPr>
          <w:rFonts w:ascii="Times New Roman"/>
          <w:b w:val="false"/>
          <w:i w:val="false"/>
          <w:color w:val="000000"/>
          <w:sz w:val="28"/>
        </w:rPr>
        <w:t>
      24. Указатели устанавливаются в количестве не более 1 (одной) единицы и на расстоянии не более 15 (пятнадцати) метров от входной группы. Габариты указателя составляют - длина 1,5 метра и ширина 0,9 метра.</w:t>
      </w:r>
    </w:p>
    <w:bookmarkEnd w:id="28"/>
    <w:bookmarkStart w:name="z30" w:id="29"/>
    <w:p>
      <w:pPr>
        <w:spacing w:after="0"/>
        <w:ind w:left="0"/>
        <w:jc w:val="both"/>
      </w:pPr>
      <w:r>
        <w:rPr>
          <w:rFonts w:ascii="Times New Roman"/>
          <w:b w:val="false"/>
          <w:i w:val="false"/>
          <w:color w:val="000000"/>
          <w:sz w:val="28"/>
        </w:rPr>
        <w:t>
      25. Штендер устанавливается на расстоянии не более 5 (пяти) метров от входной группы.</w:t>
      </w:r>
    </w:p>
    <w:bookmarkEnd w:id="29"/>
    <w:p>
      <w:pPr>
        <w:spacing w:after="0"/>
        <w:ind w:left="0"/>
        <w:jc w:val="both"/>
      </w:pPr>
      <w:r>
        <w:rPr>
          <w:rFonts w:ascii="Times New Roman"/>
          <w:b w:val="false"/>
          <w:i w:val="false"/>
          <w:color w:val="000000"/>
          <w:sz w:val="28"/>
        </w:rPr>
        <w:t>
      Штендеры должны соответствовать профилю организации и быть оформлены в цветах фирменного стиля.</w:t>
      </w:r>
    </w:p>
    <w:p>
      <w:pPr>
        <w:spacing w:after="0"/>
        <w:ind w:left="0"/>
        <w:jc w:val="both"/>
      </w:pPr>
      <w:r>
        <w:rPr>
          <w:rFonts w:ascii="Times New Roman"/>
          <w:b w:val="false"/>
          <w:i w:val="false"/>
          <w:color w:val="000000"/>
          <w:sz w:val="28"/>
        </w:rPr>
        <w:t>
      Штендеры устанавливаются на газоне или на тротуаре, не создавая препятствия проходу пешеходов.</w:t>
      </w:r>
    </w:p>
    <w:bookmarkStart w:name="z31" w:id="30"/>
    <w:p>
      <w:pPr>
        <w:spacing w:after="0"/>
        <w:ind w:left="0"/>
        <w:jc w:val="both"/>
      </w:pPr>
      <w:r>
        <w:rPr>
          <w:rFonts w:ascii="Times New Roman"/>
          <w:b w:val="false"/>
          <w:i w:val="false"/>
          <w:color w:val="000000"/>
          <w:sz w:val="28"/>
        </w:rPr>
        <w:t xml:space="preserve">
      26. Установка вывесок и информационных сооружений в виде надкрышных установок (светодинамические панно или объемные неоновые буквы)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зарегистрированный в Министерстве юстиции Республики Казахстан 30 декабря 2015 года № 12684.</w:t>
      </w:r>
    </w:p>
    <w:bookmarkEnd w:id="30"/>
    <w:p>
      <w:pPr>
        <w:spacing w:after="0"/>
        <w:ind w:left="0"/>
        <w:jc w:val="both"/>
      </w:pPr>
      <w:r>
        <w:rPr>
          <w:rFonts w:ascii="Times New Roman"/>
          <w:b w:val="false"/>
          <w:i w:val="false"/>
          <w:color w:val="000000"/>
          <w:sz w:val="28"/>
        </w:rPr>
        <w:t>
      Надкрышные установки выполняются из металла, пластика, оргстекла, поликарбоната, композитных материалов.</w:t>
      </w:r>
    </w:p>
    <w:p>
      <w:pPr>
        <w:spacing w:after="0"/>
        <w:ind w:left="0"/>
        <w:jc w:val="both"/>
      </w:pPr>
      <w:r>
        <w:rPr>
          <w:rFonts w:ascii="Times New Roman"/>
          <w:b w:val="false"/>
          <w:i w:val="false"/>
          <w:color w:val="000000"/>
          <w:sz w:val="28"/>
        </w:rPr>
        <w:t>
      Надкрышные установки выполняются из отдельно стоящих букв без подложки с внутренней подсветкой. Каркас и элементы монтажа окрашиваются в темно-серый цвет.</w:t>
      </w:r>
    </w:p>
    <w:bookmarkStart w:name="z32" w:id="31"/>
    <w:p>
      <w:pPr>
        <w:spacing w:after="0"/>
        <w:ind w:left="0"/>
        <w:jc w:val="both"/>
      </w:pPr>
      <w:r>
        <w:rPr>
          <w:rFonts w:ascii="Times New Roman"/>
          <w:b w:val="false"/>
          <w:i w:val="false"/>
          <w:color w:val="000000"/>
          <w:sz w:val="28"/>
        </w:rPr>
        <w:t>
      27. Не допускается сплошное перекрытие фасадов декоративными и информационными панелями или баннерами.</w:t>
      </w:r>
    </w:p>
    <w:bookmarkEnd w:id="31"/>
    <w:bookmarkStart w:name="z33" w:id="32"/>
    <w:p>
      <w:pPr>
        <w:spacing w:after="0"/>
        <w:ind w:left="0"/>
        <w:jc w:val="both"/>
      </w:pPr>
      <w:r>
        <w:rPr>
          <w:rFonts w:ascii="Times New Roman"/>
          <w:b w:val="false"/>
          <w:i w:val="false"/>
          <w:color w:val="000000"/>
          <w:sz w:val="28"/>
        </w:rPr>
        <w:t>
      28. Установка вывесок, информационных сооружений и других информационных материалов на фасадах зданий и сооружений (кроме объектов жилищного строительства), распространяемых посредством видеоизображений и статичных изображений допускаются только на глухих торцах зданий и сооружений.</w:t>
      </w:r>
    </w:p>
    <w:bookmarkEnd w:id="32"/>
    <w:bookmarkStart w:name="z34" w:id="33"/>
    <w:p>
      <w:pPr>
        <w:spacing w:after="0"/>
        <w:ind w:left="0"/>
        <w:jc w:val="left"/>
      </w:pPr>
      <w:r>
        <w:rPr>
          <w:rFonts w:ascii="Times New Roman"/>
          <w:b/>
          <w:i w:val="false"/>
          <w:color w:val="000000"/>
        </w:rPr>
        <w:t xml:space="preserve"> Глава 4. Установка и оформление систем уличной навигации</w:t>
      </w:r>
    </w:p>
    <w:bookmarkEnd w:id="33"/>
    <w:bookmarkStart w:name="z35" w:id="34"/>
    <w:p>
      <w:pPr>
        <w:spacing w:after="0"/>
        <w:ind w:left="0"/>
        <w:jc w:val="both"/>
      </w:pPr>
      <w:r>
        <w:rPr>
          <w:rFonts w:ascii="Times New Roman"/>
          <w:b w:val="false"/>
          <w:i w:val="false"/>
          <w:color w:val="000000"/>
          <w:sz w:val="28"/>
        </w:rPr>
        <w:t>
      29. Система уличной навигации размещается в местах с наиболее интенсивным пешеходным потоком и по пешеходным маршрутам (на перекрестках, вблизи остановок общественного транспорта).</w:t>
      </w:r>
    </w:p>
    <w:bookmarkEnd w:id="34"/>
    <w:bookmarkStart w:name="z36" w:id="35"/>
    <w:p>
      <w:pPr>
        <w:spacing w:after="0"/>
        <w:ind w:left="0"/>
        <w:jc w:val="both"/>
      </w:pPr>
      <w:r>
        <w:rPr>
          <w:rFonts w:ascii="Times New Roman"/>
          <w:b w:val="false"/>
          <w:i w:val="false"/>
          <w:color w:val="000000"/>
          <w:sz w:val="28"/>
        </w:rPr>
        <w:t>
      30. Объекты уличной навигации должны выполняться из материалов, устойчивых от выгорания под воздействием солнечных лучей.</w:t>
      </w:r>
    </w:p>
    <w:bookmarkEnd w:id="35"/>
    <w:bookmarkStart w:name="z37" w:id="36"/>
    <w:p>
      <w:pPr>
        <w:spacing w:after="0"/>
        <w:ind w:left="0"/>
        <w:jc w:val="both"/>
      </w:pPr>
      <w:r>
        <w:rPr>
          <w:rFonts w:ascii="Times New Roman"/>
          <w:b w:val="false"/>
          <w:i w:val="false"/>
          <w:color w:val="000000"/>
          <w:sz w:val="28"/>
        </w:rPr>
        <w:t>
      31. Не допускается использование объемных деталей, способствующих скоплению снега на объектах уличной навигации.</w:t>
      </w:r>
    </w:p>
    <w:bookmarkEnd w:id="36"/>
    <w:bookmarkStart w:name="z38" w:id="37"/>
    <w:p>
      <w:pPr>
        <w:spacing w:after="0"/>
        <w:ind w:left="0"/>
        <w:jc w:val="both"/>
      </w:pPr>
      <w:r>
        <w:rPr>
          <w:rFonts w:ascii="Times New Roman"/>
          <w:b w:val="false"/>
          <w:i w:val="false"/>
          <w:color w:val="000000"/>
          <w:sz w:val="28"/>
        </w:rPr>
        <w:t>
      32. На территории города Алматы допускается установка уличной навигации в виде отдельно стоящих объектов (информационные стелы, флаговые указатели, цифровые стенды, указатели транспортной и пешеходной навигации), табличек на фасадах зданий и сооружений, навигацию, заложенную в мощении или покрытиях дорожек.</w:t>
      </w:r>
    </w:p>
    <w:bookmarkEnd w:id="37"/>
    <w:bookmarkStart w:name="z39" w:id="38"/>
    <w:p>
      <w:pPr>
        <w:spacing w:after="0"/>
        <w:ind w:left="0"/>
        <w:jc w:val="both"/>
      </w:pPr>
      <w:r>
        <w:rPr>
          <w:rFonts w:ascii="Times New Roman"/>
          <w:b w:val="false"/>
          <w:i w:val="false"/>
          <w:color w:val="000000"/>
          <w:sz w:val="28"/>
        </w:rPr>
        <w:t>
      33. Для отдельно стоящих объектов уличной навигации необходимо использование бетонного или чугунного фундамента, без выступа над уровнем земли с безопасным ударопрочным остеклением, изготовленным и соответствующим требованиям ГОСТ 30698-2014, с внутренней подсветкой, оборудованной системой аварийного отключения от сети электропитания и подземным подключением к электрическим сетям. Требования по остеклению не распространяются на объекты в виде экранов и электронного табло.</w:t>
      </w:r>
    </w:p>
    <w:bookmarkEnd w:id="38"/>
    <w:bookmarkStart w:name="z40" w:id="39"/>
    <w:p>
      <w:pPr>
        <w:spacing w:after="0"/>
        <w:ind w:left="0"/>
        <w:jc w:val="both"/>
      </w:pPr>
      <w:r>
        <w:rPr>
          <w:rFonts w:ascii="Times New Roman"/>
          <w:b w:val="false"/>
          <w:i w:val="false"/>
          <w:color w:val="000000"/>
          <w:sz w:val="28"/>
        </w:rPr>
        <w:t xml:space="preserve">
      34. Конструкции флаговых указателей, информационных стел и цифровых стендов пешеходной навигации выполняются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Дизайн-коду.</w:t>
      </w:r>
    </w:p>
    <w:bookmarkEnd w:id="39"/>
    <w:bookmarkStart w:name="z41" w:id="40"/>
    <w:p>
      <w:pPr>
        <w:spacing w:after="0"/>
        <w:ind w:left="0"/>
        <w:jc w:val="both"/>
      </w:pPr>
      <w:r>
        <w:rPr>
          <w:rFonts w:ascii="Times New Roman"/>
          <w:b w:val="false"/>
          <w:i w:val="false"/>
          <w:color w:val="000000"/>
          <w:sz w:val="28"/>
        </w:rPr>
        <w:t>
      35. Навигационные таблички, описывающие памятники, монументы, ландшафтные и природные объекты размещаются в непосредственной близости к этим объектам.</w:t>
      </w:r>
    </w:p>
    <w:bookmarkEnd w:id="40"/>
    <w:bookmarkStart w:name="z42" w:id="41"/>
    <w:p>
      <w:pPr>
        <w:spacing w:after="0"/>
        <w:ind w:left="0"/>
        <w:jc w:val="both"/>
      </w:pPr>
      <w:r>
        <w:rPr>
          <w:rFonts w:ascii="Times New Roman"/>
          <w:b w:val="false"/>
          <w:i w:val="false"/>
          <w:color w:val="000000"/>
          <w:sz w:val="28"/>
        </w:rPr>
        <w:t>
      36. Навигационные таблички устанавливаются на высоте и с углом падения (1,7 метра – 90 градусов, 1,2 метра – 60 градусов, 1 метр – 45 градусов и 0,8 метра – 30 градусов).</w:t>
      </w:r>
    </w:p>
    <w:bookmarkEnd w:id="41"/>
    <w:bookmarkStart w:name="z43" w:id="42"/>
    <w:p>
      <w:pPr>
        <w:spacing w:after="0"/>
        <w:ind w:left="0"/>
        <w:jc w:val="both"/>
      </w:pPr>
      <w:r>
        <w:rPr>
          <w:rFonts w:ascii="Times New Roman"/>
          <w:b w:val="false"/>
          <w:i w:val="false"/>
          <w:color w:val="000000"/>
          <w:sz w:val="28"/>
        </w:rPr>
        <w:t>
      37. Отдельно стоящие объекты уличной навигации не устанавливаются:</w:t>
      </w:r>
    </w:p>
    <w:bookmarkEnd w:id="42"/>
    <w:p>
      <w:pPr>
        <w:spacing w:after="0"/>
        <w:ind w:left="0"/>
        <w:jc w:val="both"/>
      </w:pPr>
      <w:r>
        <w:rPr>
          <w:rFonts w:ascii="Times New Roman"/>
          <w:b w:val="false"/>
          <w:i w:val="false"/>
          <w:color w:val="000000"/>
          <w:sz w:val="28"/>
        </w:rPr>
        <w:t>
      1) на разделительных полосах автомобильных дорог, а также на участках земель, разделяющие смежные проезжие части дороги;</w:t>
      </w:r>
    </w:p>
    <w:p>
      <w:pPr>
        <w:spacing w:after="0"/>
        <w:ind w:left="0"/>
        <w:jc w:val="both"/>
      </w:pPr>
      <w:r>
        <w:rPr>
          <w:rFonts w:ascii="Times New Roman"/>
          <w:b w:val="false"/>
          <w:i w:val="false"/>
          <w:color w:val="000000"/>
          <w:sz w:val="28"/>
        </w:rPr>
        <w:t>
      2) перекрывая видимость движения автомобильного транспорта, пешеходов и остановок;</w:t>
      </w:r>
    </w:p>
    <w:p>
      <w:pPr>
        <w:spacing w:after="0"/>
        <w:ind w:left="0"/>
        <w:jc w:val="both"/>
      </w:pPr>
      <w:r>
        <w:rPr>
          <w:rFonts w:ascii="Times New Roman"/>
          <w:b w:val="false"/>
          <w:i w:val="false"/>
          <w:color w:val="000000"/>
          <w:sz w:val="28"/>
        </w:rPr>
        <w:t>
      3) на расстоянии менее 20 метров до разметок пешеходных переходов по направлению движения транспортного потока;</w:t>
      </w:r>
    </w:p>
    <w:p>
      <w:pPr>
        <w:spacing w:after="0"/>
        <w:ind w:left="0"/>
        <w:jc w:val="both"/>
      </w:pPr>
      <w:r>
        <w:rPr>
          <w:rFonts w:ascii="Times New Roman"/>
          <w:b w:val="false"/>
          <w:i w:val="false"/>
          <w:color w:val="000000"/>
          <w:sz w:val="28"/>
        </w:rPr>
        <w:t>
      4) на охранной зоне инженерных коммуникаций;</w:t>
      </w:r>
    </w:p>
    <w:p>
      <w:pPr>
        <w:spacing w:after="0"/>
        <w:ind w:left="0"/>
        <w:jc w:val="both"/>
      </w:pPr>
      <w:r>
        <w:rPr>
          <w:rFonts w:ascii="Times New Roman"/>
          <w:b w:val="false"/>
          <w:i w:val="false"/>
          <w:color w:val="000000"/>
          <w:sz w:val="28"/>
        </w:rPr>
        <w:t>
      5) на расстоянии менее 3 метров от деревьев;</w:t>
      </w:r>
    </w:p>
    <w:p>
      <w:pPr>
        <w:spacing w:after="0"/>
        <w:ind w:left="0"/>
        <w:jc w:val="both"/>
      </w:pPr>
      <w:r>
        <w:rPr>
          <w:rFonts w:ascii="Times New Roman"/>
          <w:b w:val="false"/>
          <w:i w:val="false"/>
          <w:color w:val="000000"/>
          <w:sz w:val="28"/>
        </w:rPr>
        <w:t>
      6) на расстоянии менее 1 метра от линий электропередачи осветительных сетей;</w:t>
      </w:r>
    </w:p>
    <w:p>
      <w:pPr>
        <w:spacing w:after="0"/>
        <w:ind w:left="0"/>
        <w:jc w:val="both"/>
      </w:pPr>
      <w:r>
        <w:rPr>
          <w:rFonts w:ascii="Times New Roman"/>
          <w:b w:val="false"/>
          <w:i w:val="false"/>
          <w:color w:val="000000"/>
          <w:sz w:val="28"/>
        </w:rPr>
        <w:t>
      7) на расстоянии менее 5 метров от входов в метро и подземных переходов, опор городских коммунальных сетей освещения, троллейбусных сетей и видеонаблюдения, светофоров;</w:t>
      </w:r>
    </w:p>
    <w:p>
      <w:pPr>
        <w:spacing w:after="0"/>
        <w:ind w:left="0"/>
        <w:jc w:val="both"/>
      </w:pPr>
      <w:r>
        <w:rPr>
          <w:rFonts w:ascii="Times New Roman"/>
          <w:b w:val="false"/>
          <w:i w:val="false"/>
          <w:color w:val="000000"/>
          <w:sz w:val="28"/>
        </w:rPr>
        <w:t>
      8) с использованием элементов, выходящих за пределы внешних габаритов;</w:t>
      </w:r>
    </w:p>
    <w:bookmarkStart w:name="z44" w:id="43"/>
    <w:p>
      <w:pPr>
        <w:spacing w:after="0"/>
        <w:ind w:left="0"/>
        <w:jc w:val="both"/>
      </w:pPr>
      <w:r>
        <w:rPr>
          <w:rFonts w:ascii="Times New Roman"/>
          <w:b w:val="false"/>
          <w:i w:val="false"/>
          <w:color w:val="000000"/>
          <w:sz w:val="28"/>
        </w:rPr>
        <w:t>
      38. Адресные таблички устанавливаются на глухих фасадах зданий и сооружений на высоте между первыми и вторыми этажами. Габариты адресных табличек составляют высотой не более 0,5 метра и длиной не более 1,5 метра.</w:t>
      </w:r>
    </w:p>
    <w:bookmarkEnd w:id="43"/>
    <w:bookmarkStart w:name="z45" w:id="44"/>
    <w:p>
      <w:pPr>
        <w:spacing w:after="0"/>
        <w:ind w:left="0"/>
        <w:jc w:val="both"/>
      </w:pPr>
      <w:r>
        <w:rPr>
          <w:rFonts w:ascii="Times New Roman"/>
          <w:b w:val="false"/>
          <w:i w:val="false"/>
          <w:color w:val="000000"/>
          <w:sz w:val="28"/>
        </w:rPr>
        <w:t>
      39. Размер крупноформатной адресной таблички на глухом фасаде зданий и сооружений составляет высотой не более 3 метров и длиной 3 метра.</w:t>
      </w:r>
    </w:p>
    <w:bookmarkEnd w:id="44"/>
    <w:bookmarkStart w:name="z46" w:id="45"/>
    <w:p>
      <w:pPr>
        <w:spacing w:after="0"/>
        <w:ind w:left="0"/>
        <w:jc w:val="left"/>
      </w:pPr>
      <w:r>
        <w:rPr>
          <w:rFonts w:ascii="Times New Roman"/>
          <w:b/>
          <w:i w:val="false"/>
          <w:color w:val="000000"/>
        </w:rPr>
        <w:t xml:space="preserve"> Глава 5. Установка и оформление уличной мебели</w:t>
      </w:r>
    </w:p>
    <w:bookmarkEnd w:id="45"/>
    <w:bookmarkStart w:name="z47" w:id="46"/>
    <w:p>
      <w:pPr>
        <w:spacing w:after="0"/>
        <w:ind w:left="0"/>
        <w:jc w:val="both"/>
      </w:pPr>
      <w:r>
        <w:rPr>
          <w:rFonts w:ascii="Times New Roman"/>
          <w:b w:val="false"/>
          <w:i w:val="false"/>
          <w:color w:val="000000"/>
          <w:sz w:val="28"/>
        </w:rPr>
        <w:t>
      40. Дизайн уличной мебели должен соответствовать общему городскому облику, сочетаясь с архитектурным и ландшафтным стилем.</w:t>
      </w:r>
    </w:p>
    <w:bookmarkEnd w:id="46"/>
    <w:bookmarkStart w:name="z48" w:id="47"/>
    <w:p>
      <w:pPr>
        <w:spacing w:after="0"/>
        <w:ind w:left="0"/>
        <w:jc w:val="both"/>
      </w:pPr>
      <w:r>
        <w:rPr>
          <w:rFonts w:ascii="Times New Roman"/>
          <w:b w:val="false"/>
          <w:i w:val="false"/>
          <w:color w:val="000000"/>
          <w:sz w:val="28"/>
        </w:rPr>
        <w:t xml:space="preserve">
      41. Уличная мебель должна быть безопасной, выполняться из экологических и долговечных материалов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bookmarkEnd w:id="47"/>
    <w:bookmarkStart w:name="z49" w:id="48"/>
    <w:p>
      <w:pPr>
        <w:spacing w:after="0"/>
        <w:ind w:left="0"/>
        <w:jc w:val="both"/>
      </w:pPr>
      <w:r>
        <w:rPr>
          <w:rFonts w:ascii="Times New Roman"/>
          <w:b w:val="false"/>
          <w:i w:val="false"/>
          <w:color w:val="000000"/>
          <w:sz w:val="28"/>
        </w:rPr>
        <w:t>
      42. Уличная мебель должна быть в функционирующем состоянии. Нефункционирующая уличная мебель не должна ухудшать облик города. Во время проведения технического обслуживания или ремонта, необходимо устанавливать временные ограждения с предупреждающей информацией.</w:t>
      </w:r>
    </w:p>
    <w:bookmarkEnd w:id="48"/>
    <w:bookmarkStart w:name="z50" w:id="49"/>
    <w:p>
      <w:pPr>
        <w:spacing w:after="0"/>
        <w:ind w:left="0"/>
        <w:jc w:val="both"/>
      </w:pPr>
      <w:r>
        <w:rPr>
          <w:rFonts w:ascii="Times New Roman"/>
          <w:b w:val="false"/>
          <w:i w:val="false"/>
          <w:color w:val="000000"/>
          <w:sz w:val="28"/>
        </w:rPr>
        <w:t>
      43. На территориях общего пользования (скверах, парках и пешеходных улицах) допускается установка малых архитектурных форм по согласованию с уполномоченным органом.</w:t>
      </w:r>
    </w:p>
    <w:bookmarkEnd w:id="49"/>
    <w:bookmarkStart w:name="z51" w:id="50"/>
    <w:p>
      <w:pPr>
        <w:spacing w:after="0"/>
        <w:ind w:left="0"/>
        <w:jc w:val="both"/>
      </w:pPr>
      <w:r>
        <w:rPr>
          <w:rFonts w:ascii="Times New Roman"/>
          <w:b w:val="false"/>
          <w:i w:val="false"/>
          <w:color w:val="000000"/>
          <w:sz w:val="28"/>
        </w:rPr>
        <w:t>
      44. Уличная мебель в виде скамей располагается в углублениях на краю тротуаров и пешеходных пространств, а также на краю пешеходного пути без специальных углублений, при этом, не создавая препятствий пешеходам и коммунальной технике.</w:t>
      </w:r>
    </w:p>
    <w:bookmarkEnd w:id="50"/>
    <w:bookmarkStart w:name="z52" w:id="51"/>
    <w:p>
      <w:pPr>
        <w:spacing w:after="0"/>
        <w:ind w:left="0"/>
        <w:jc w:val="both"/>
      </w:pPr>
      <w:r>
        <w:rPr>
          <w:rFonts w:ascii="Times New Roman"/>
          <w:b w:val="false"/>
          <w:i w:val="false"/>
          <w:color w:val="000000"/>
          <w:sz w:val="28"/>
        </w:rPr>
        <w:t xml:space="preserve">
      45. Скамьи и места для сидения должны соответствовать параметрам, указанным в </w:t>
      </w:r>
      <w:r>
        <w:rPr>
          <w:rFonts w:ascii="Times New Roman"/>
          <w:b w:val="false"/>
          <w:i w:val="false"/>
          <w:color w:val="000000"/>
          <w:sz w:val="28"/>
        </w:rPr>
        <w:t>Приложении 6</w:t>
      </w:r>
      <w:r>
        <w:rPr>
          <w:rFonts w:ascii="Times New Roman"/>
          <w:b w:val="false"/>
          <w:i w:val="false"/>
          <w:color w:val="000000"/>
          <w:sz w:val="28"/>
        </w:rPr>
        <w:t xml:space="preserve"> к Дизайн-коду.</w:t>
      </w:r>
    </w:p>
    <w:bookmarkEnd w:id="51"/>
    <w:bookmarkStart w:name="z53" w:id="52"/>
    <w:p>
      <w:pPr>
        <w:spacing w:after="0"/>
        <w:ind w:left="0"/>
        <w:jc w:val="both"/>
      </w:pPr>
      <w:r>
        <w:rPr>
          <w:rFonts w:ascii="Times New Roman"/>
          <w:b w:val="false"/>
          <w:i w:val="false"/>
          <w:color w:val="000000"/>
          <w:sz w:val="28"/>
        </w:rPr>
        <w:t xml:space="preserve">
      46. Урны должны размещаться в углублениях пешеходного пространства, не мешая потоку пешеходов. При расположении рядом со скамьями, урна должна находиться на расстоянии не менее 50 см и не более 1 метра от торцевой части скамьи, с одной или с двух сторон от скамьи согласно </w:t>
      </w:r>
      <w:r>
        <w:rPr>
          <w:rFonts w:ascii="Times New Roman"/>
          <w:b w:val="false"/>
          <w:i w:val="false"/>
          <w:color w:val="000000"/>
          <w:sz w:val="28"/>
        </w:rPr>
        <w:t>Приложению 7</w:t>
      </w:r>
      <w:r>
        <w:rPr>
          <w:rFonts w:ascii="Times New Roman"/>
          <w:b w:val="false"/>
          <w:i w:val="false"/>
          <w:color w:val="000000"/>
          <w:sz w:val="28"/>
        </w:rPr>
        <w:t xml:space="preserve"> к Дизайн-коду.</w:t>
      </w:r>
    </w:p>
    <w:bookmarkEnd w:id="52"/>
    <w:bookmarkStart w:name="z54" w:id="53"/>
    <w:p>
      <w:pPr>
        <w:spacing w:after="0"/>
        <w:ind w:left="0"/>
        <w:jc w:val="both"/>
      </w:pPr>
      <w:r>
        <w:rPr>
          <w:rFonts w:ascii="Times New Roman"/>
          <w:b w:val="false"/>
          <w:i w:val="false"/>
          <w:color w:val="000000"/>
          <w:sz w:val="28"/>
        </w:rPr>
        <w:t>
      47. Не допускается размещение мусоросборочных площадок (вакуумные, контейнерные, подземные) за исключением индивидуальных урн на территориях общего пользования, государственного земельного фонда, общественных пространств, вдоль улиц и дорог.</w:t>
      </w:r>
    </w:p>
    <w:bookmarkEnd w:id="53"/>
    <w:bookmarkStart w:name="z55" w:id="54"/>
    <w:p>
      <w:pPr>
        <w:spacing w:after="0"/>
        <w:ind w:left="0"/>
        <w:jc w:val="both"/>
      </w:pPr>
      <w:r>
        <w:rPr>
          <w:rFonts w:ascii="Times New Roman"/>
          <w:b w:val="false"/>
          <w:i w:val="false"/>
          <w:color w:val="000000"/>
          <w:sz w:val="28"/>
        </w:rPr>
        <w:t>
      48. Мусоросборочные площадки должны располагаться исключительно на внутридворовых территориях жилых домов или на частных земельных участках за пределами видимости со стороны главных подъездов.</w:t>
      </w:r>
    </w:p>
    <w:bookmarkEnd w:id="54"/>
    <w:bookmarkStart w:name="z56" w:id="55"/>
    <w:p>
      <w:pPr>
        <w:spacing w:after="0"/>
        <w:ind w:left="0"/>
        <w:jc w:val="both"/>
      </w:pPr>
      <w:r>
        <w:rPr>
          <w:rFonts w:ascii="Times New Roman"/>
          <w:b w:val="false"/>
          <w:i w:val="false"/>
          <w:color w:val="000000"/>
          <w:sz w:val="28"/>
        </w:rPr>
        <w:t>
      49. Элементы объектов сбора мусора должны быть прочно и надежно прикреплены к фундаментам при помощи бетонирования или анкерного крепления.</w:t>
      </w:r>
    </w:p>
    <w:bookmarkEnd w:id="55"/>
    <w:bookmarkStart w:name="z57" w:id="56"/>
    <w:p>
      <w:pPr>
        <w:spacing w:after="0"/>
        <w:ind w:left="0"/>
        <w:jc w:val="both"/>
      </w:pPr>
      <w:r>
        <w:rPr>
          <w:rFonts w:ascii="Times New Roman"/>
          <w:b w:val="false"/>
          <w:i w:val="false"/>
          <w:color w:val="000000"/>
          <w:sz w:val="28"/>
        </w:rPr>
        <w:t>
      50. Урны должны иметь единый дизайн и цвет со всеми элементами уличной мебели окружающего пространства.</w:t>
      </w:r>
    </w:p>
    <w:bookmarkEnd w:id="56"/>
    <w:bookmarkStart w:name="z58" w:id="57"/>
    <w:p>
      <w:pPr>
        <w:spacing w:after="0"/>
        <w:ind w:left="0"/>
        <w:jc w:val="both"/>
      </w:pPr>
      <w:r>
        <w:rPr>
          <w:rFonts w:ascii="Times New Roman"/>
          <w:b w:val="false"/>
          <w:i w:val="false"/>
          <w:color w:val="000000"/>
          <w:sz w:val="28"/>
        </w:rPr>
        <w:t>
      51. Урны и контейнеры для сбора твердо-бытовых отходов не должны способствовать ухудшению визуальной составляющей элементов городского пространства.</w:t>
      </w:r>
    </w:p>
    <w:bookmarkEnd w:id="57"/>
    <w:bookmarkStart w:name="z59" w:id="58"/>
    <w:p>
      <w:pPr>
        <w:spacing w:after="0"/>
        <w:ind w:left="0"/>
        <w:jc w:val="both"/>
      </w:pPr>
      <w:r>
        <w:rPr>
          <w:rFonts w:ascii="Times New Roman"/>
          <w:b w:val="false"/>
          <w:i w:val="false"/>
          <w:color w:val="000000"/>
          <w:sz w:val="28"/>
        </w:rPr>
        <w:t>
      52. Урны с установленными на них пепельницами следует размещать на расстоянии 5 м от окон жилых домов и входов в здания. Внешняя поверхность урн должна быть рельефной и перфорированной для защиты от нанесения надписей и граффити.</w:t>
      </w:r>
    </w:p>
    <w:bookmarkEnd w:id="58"/>
    <w:bookmarkStart w:name="z60" w:id="59"/>
    <w:p>
      <w:pPr>
        <w:spacing w:after="0"/>
        <w:ind w:left="0"/>
        <w:jc w:val="both"/>
      </w:pPr>
      <w:r>
        <w:rPr>
          <w:rFonts w:ascii="Times New Roman"/>
          <w:b w:val="false"/>
          <w:i w:val="false"/>
          <w:color w:val="000000"/>
          <w:sz w:val="28"/>
        </w:rPr>
        <w:t>
      53. Урны для раздельного сбора мусора следует группировать вместе, располагая в один ряд.</w:t>
      </w:r>
    </w:p>
    <w:bookmarkEnd w:id="59"/>
    <w:bookmarkStart w:name="z61" w:id="60"/>
    <w:p>
      <w:pPr>
        <w:spacing w:after="0"/>
        <w:ind w:left="0"/>
        <w:jc w:val="both"/>
      </w:pPr>
      <w:r>
        <w:rPr>
          <w:rFonts w:ascii="Times New Roman"/>
          <w:b w:val="false"/>
          <w:i w:val="false"/>
          <w:color w:val="000000"/>
          <w:sz w:val="28"/>
        </w:rPr>
        <w:t>
      54. Все элементы для сбора мусора должны быть размещены так, чтобы не препятствовать основному пешеходному потоку, на минимальном расстоянии 0,5 метра от пешеходного пути, вместе с другими элементами уличной мебели.</w:t>
      </w:r>
    </w:p>
    <w:bookmarkEnd w:id="60"/>
    <w:bookmarkStart w:name="z62" w:id="61"/>
    <w:p>
      <w:pPr>
        <w:spacing w:after="0"/>
        <w:ind w:left="0"/>
        <w:jc w:val="both"/>
      </w:pPr>
      <w:r>
        <w:rPr>
          <w:rFonts w:ascii="Times New Roman"/>
          <w:b w:val="false"/>
          <w:i w:val="false"/>
          <w:color w:val="000000"/>
          <w:sz w:val="28"/>
        </w:rPr>
        <w:t>
      55. Урны размещаются вблизи мест для сидения, входных групп зданий, подземными переходами, остановками общественного транспорта, на расстоянии более 0,5 метра от этих объектов.</w:t>
      </w:r>
    </w:p>
    <w:bookmarkEnd w:id="61"/>
    <w:bookmarkStart w:name="z63" w:id="62"/>
    <w:p>
      <w:pPr>
        <w:spacing w:after="0"/>
        <w:ind w:left="0"/>
        <w:jc w:val="both"/>
      </w:pPr>
      <w:r>
        <w:rPr>
          <w:rFonts w:ascii="Times New Roman"/>
          <w:b w:val="false"/>
          <w:i w:val="false"/>
          <w:color w:val="000000"/>
          <w:sz w:val="28"/>
        </w:rPr>
        <w:t xml:space="preserve">
      56. Площадки для сбора твердо-бытовых отходов необходимо размещать вдоль проездов. Расстояние от края проезда до ближайшего мусороприемника должно составлять не менее 1,5 метра и не более 10 метров. Мусорные контейнеры могут размещаться в ряду линейной парковки на улице на расстоянии не менее 20 метров от окон жилых домов согласно </w:t>
      </w:r>
      <w:r>
        <w:rPr>
          <w:rFonts w:ascii="Times New Roman"/>
          <w:b w:val="false"/>
          <w:i w:val="false"/>
          <w:color w:val="000000"/>
          <w:sz w:val="28"/>
        </w:rPr>
        <w:t>Приложению 8</w:t>
      </w:r>
      <w:r>
        <w:rPr>
          <w:rFonts w:ascii="Times New Roman"/>
          <w:b w:val="false"/>
          <w:i w:val="false"/>
          <w:color w:val="000000"/>
          <w:sz w:val="28"/>
        </w:rPr>
        <w:t xml:space="preserve"> к Дизайн-коду.</w:t>
      </w:r>
    </w:p>
    <w:bookmarkEnd w:id="62"/>
    <w:bookmarkStart w:name="z64" w:id="63"/>
    <w:p>
      <w:pPr>
        <w:spacing w:after="0"/>
        <w:ind w:left="0"/>
        <w:jc w:val="both"/>
      </w:pPr>
      <w:r>
        <w:rPr>
          <w:rFonts w:ascii="Times New Roman"/>
          <w:b w:val="false"/>
          <w:i w:val="false"/>
          <w:color w:val="000000"/>
          <w:sz w:val="28"/>
        </w:rPr>
        <w:t>
      57. При подземном размещении контейнеров возможно сокращение расстояния до 10 метров. Расстояние до площадок для установки мусоросборников не должно превышать 100 метров от домов с мусоропроводом и 50 метров от домов без мусоропровода.</w:t>
      </w:r>
    </w:p>
    <w:bookmarkEnd w:id="63"/>
    <w:bookmarkStart w:name="z65" w:id="64"/>
    <w:p>
      <w:pPr>
        <w:spacing w:after="0"/>
        <w:ind w:left="0"/>
        <w:jc w:val="both"/>
      </w:pPr>
      <w:r>
        <w:rPr>
          <w:rFonts w:ascii="Times New Roman"/>
          <w:b w:val="false"/>
          <w:i w:val="false"/>
          <w:color w:val="000000"/>
          <w:sz w:val="28"/>
        </w:rPr>
        <w:t>
      58. Группы контейнеров для сбора твердо-бытовых отходов должны размещаться на огороженных площадках на расстоянии не менее 20 метров от окон жилых домов, границ физкультурных площадок и площадок для игр и отдыха.</w:t>
      </w:r>
    </w:p>
    <w:bookmarkEnd w:id="64"/>
    <w:bookmarkStart w:name="z66" w:id="65"/>
    <w:p>
      <w:pPr>
        <w:spacing w:after="0"/>
        <w:ind w:left="0"/>
        <w:jc w:val="both"/>
      </w:pPr>
      <w:r>
        <w:rPr>
          <w:rFonts w:ascii="Times New Roman"/>
          <w:b w:val="false"/>
          <w:i w:val="false"/>
          <w:color w:val="000000"/>
          <w:sz w:val="28"/>
        </w:rPr>
        <w:t xml:space="preserve">
      59. На спортивных и детских площадках размещенных за пределами помещений, необходимо устанавливать капитальные или модульные теневые навесы, а также наземные покрытия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ноября 2010 года № 1202 об утверждении технического регламента "Требования к безопасности зданий и сооружений, строительных материалов и изделий".</w:t>
      </w:r>
    </w:p>
    <w:bookmarkEnd w:id="65"/>
    <w:bookmarkStart w:name="z67" w:id="66"/>
    <w:p>
      <w:pPr>
        <w:spacing w:after="0"/>
        <w:ind w:left="0"/>
        <w:jc w:val="both"/>
      </w:pPr>
      <w:r>
        <w:rPr>
          <w:rFonts w:ascii="Times New Roman"/>
          <w:b w:val="false"/>
          <w:i w:val="false"/>
          <w:color w:val="000000"/>
          <w:sz w:val="28"/>
        </w:rPr>
        <w:t xml:space="preserve">
      60. В целях соблюдения целостной эстетичной архитектуры, комфортной, доступной и безопасной городской среды, на участках с высоким пешеходным потоком необходимо устанавливать приствольные решетки и ограждения стволов деревьев и их прикорневой части от вытаптывания и повреждений согласно </w:t>
      </w:r>
      <w:r>
        <w:rPr>
          <w:rFonts w:ascii="Times New Roman"/>
          <w:b w:val="false"/>
          <w:i w:val="false"/>
          <w:color w:val="000000"/>
          <w:sz w:val="28"/>
        </w:rPr>
        <w:t>Приложению 9</w:t>
      </w:r>
      <w:r>
        <w:rPr>
          <w:rFonts w:ascii="Times New Roman"/>
          <w:b w:val="false"/>
          <w:i w:val="false"/>
          <w:color w:val="000000"/>
          <w:sz w:val="28"/>
        </w:rPr>
        <w:t xml:space="preserve"> к Дизайн-коду.</w:t>
      </w:r>
    </w:p>
    <w:bookmarkEnd w:id="66"/>
    <w:bookmarkStart w:name="z68" w:id="67"/>
    <w:p>
      <w:pPr>
        <w:spacing w:after="0"/>
        <w:ind w:left="0"/>
        <w:jc w:val="both"/>
      </w:pPr>
      <w:r>
        <w:rPr>
          <w:rFonts w:ascii="Times New Roman"/>
          <w:b w:val="false"/>
          <w:i w:val="false"/>
          <w:color w:val="000000"/>
          <w:sz w:val="28"/>
        </w:rPr>
        <w:t>
      61. Приствольные решетки необходимо выполнять из стали холодного и горячего оцинкования, высокопрочного чугуна и архитектурного бетона. Необходимо использовать ажурные приствольные решетки для обеспечения попадания воды и воздуха в грунт.</w:t>
      </w:r>
    </w:p>
    <w:bookmarkEnd w:id="67"/>
    <w:bookmarkStart w:name="z69" w:id="68"/>
    <w:p>
      <w:pPr>
        <w:spacing w:after="0"/>
        <w:ind w:left="0"/>
        <w:jc w:val="both"/>
      </w:pPr>
      <w:r>
        <w:rPr>
          <w:rFonts w:ascii="Times New Roman"/>
          <w:b w:val="false"/>
          <w:i w:val="false"/>
          <w:color w:val="000000"/>
          <w:sz w:val="28"/>
        </w:rPr>
        <w:t>
      62. Не допускается оставлять грунт открытым в парковых зонах, вдоль тротуаров, в пешеходных зонах. Грунт необходимо покрывать защитным гравийным, щебеночным мульчированным покрытием, в том числе посадкой растений с выделением границ бортовым камнем или элементом мощения.</w:t>
      </w:r>
    </w:p>
    <w:bookmarkEnd w:id="68"/>
    <w:bookmarkStart w:name="z70" w:id="69"/>
    <w:p>
      <w:pPr>
        <w:spacing w:after="0"/>
        <w:ind w:left="0"/>
        <w:jc w:val="both"/>
      </w:pPr>
      <w:r>
        <w:rPr>
          <w:rFonts w:ascii="Times New Roman"/>
          <w:b w:val="false"/>
          <w:i w:val="false"/>
          <w:color w:val="000000"/>
          <w:sz w:val="28"/>
        </w:rPr>
        <w:t>
      63. Приствольные решетки должны обеспечивать одноуровневое покрытие и создание целостной эстетичной архитектуры, доступной и безопасной городской среды.</w:t>
      </w:r>
    </w:p>
    <w:bookmarkEnd w:id="69"/>
    <w:bookmarkStart w:name="z71" w:id="70"/>
    <w:p>
      <w:pPr>
        <w:spacing w:after="0"/>
        <w:ind w:left="0"/>
        <w:jc w:val="both"/>
      </w:pPr>
      <w:r>
        <w:rPr>
          <w:rFonts w:ascii="Times New Roman"/>
          <w:b w:val="false"/>
          <w:i w:val="false"/>
          <w:color w:val="000000"/>
          <w:sz w:val="28"/>
        </w:rPr>
        <w:t>
      64. Приствольные ограждения должны быть безопасными, плавными и закругленными, без острых углов и элементов.</w:t>
      </w:r>
    </w:p>
    <w:bookmarkEnd w:id="70"/>
    <w:bookmarkStart w:name="z72" w:id="71"/>
    <w:p>
      <w:pPr>
        <w:spacing w:after="0"/>
        <w:ind w:left="0"/>
        <w:jc w:val="both"/>
      </w:pPr>
      <w:r>
        <w:rPr>
          <w:rFonts w:ascii="Times New Roman"/>
          <w:b w:val="false"/>
          <w:i w:val="false"/>
          <w:color w:val="000000"/>
          <w:sz w:val="28"/>
        </w:rPr>
        <w:t xml:space="preserve">
      65. Конструкции для кратковременного или длительного хранения велосипедов или самокатов (парковки средств микромобильности), должны соответствовать цветовому решению архитектурной среды, а также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Дизайн-коду.</w:t>
      </w:r>
    </w:p>
    <w:bookmarkEnd w:id="71"/>
    <w:bookmarkStart w:name="z73" w:id="72"/>
    <w:p>
      <w:pPr>
        <w:spacing w:after="0"/>
        <w:ind w:left="0"/>
        <w:jc w:val="both"/>
      </w:pPr>
      <w:r>
        <w:rPr>
          <w:rFonts w:ascii="Times New Roman"/>
          <w:b w:val="false"/>
          <w:i w:val="false"/>
          <w:color w:val="000000"/>
          <w:sz w:val="28"/>
        </w:rPr>
        <w:t>
      66. Расстояние между стойками групповых парковок средств микромобильности 1 метр для перпендикулярных парковок и 2 метра для параллельных парковок.</w:t>
      </w:r>
    </w:p>
    <w:bookmarkEnd w:id="72"/>
    <w:p>
      <w:pPr>
        <w:spacing w:after="0"/>
        <w:ind w:left="0"/>
        <w:jc w:val="both"/>
      </w:pPr>
      <w:r>
        <w:rPr>
          <w:rFonts w:ascii="Times New Roman"/>
          <w:b w:val="false"/>
          <w:i w:val="false"/>
          <w:color w:val="000000"/>
          <w:sz w:val="28"/>
        </w:rPr>
        <w:t>
      Конструкции парковок средств микро мобильности должны размещаться на расстоянии 0,8 метров от тротуарного бордюра и зон пешеходных переходов, 0,6 метров от фасадов зданий, ограждений и живых изгородей, 30 метров от входных групп зданий, 3 метра от остановок общественного транспорта, 1,2 метра от других объектов благоустройства.</w:t>
      </w:r>
    </w:p>
    <w:p>
      <w:pPr>
        <w:spacing w:after="0"/>
        <w:ind w:left="0"/>
        <w:jc w:val="both"/>
      </w:pPr>
      <w:r>
        <w:rPr>
          <w:rFonts w:ascii="Times New Roman"/>
          <w:b w:val="false"/>
          <w:i w:val="false"/>
          <w:color w:val="000000"/>
          <w:sz w:val="28"/>
        </w:rPr>
        <w:t>
      При размещении нескольких конструкций парковок средств микро мобильности, расстояние между конструкциями должно составлять не менее 1,5 метра.</w:t>
      </w:r>
    </w:p>
    <w:p>
      <w:pPr>
        <w:spacing w:after="0"/>
        <w:ind w:left="0"/>
        <w:jc w:val="both"/>
      </w:pPr>
      <w:r>
        <w:rPr>
          <w:rFonts w:ascii="Times New Roman"/>
          <w:b w:val="false"/>
          <w:i w:val="false"/>
          <w:color w:val="000000"/>
          <w:sz w:val="28"/>
        </w:rPr>
        <w:t>
      Размещение конструкций парковок средств микро мобильности не допускается на газоне, проезжей части, создавая препятствия проходу пешеходам и техническому транспорту.</w:t>
      </w:r>
    </w:p>
    <w:bookmarkStart w:name="z74" w:id="73"/>
    <w:p>
      <w:pPr>
        <w:spacing w:after="0"/>
        <w:ind w:left="0"/>
        <w:jc w:val="left"/>
      </w:pPr>
      <w:r>
        <w:rPr>
          <w:rFonts w:ascii="Times New Roman"/>
          <w:b/>
          <w:i w:val="false"/>
          <w:color w:val="000000"/>
        </w:rPr>
        <w:t xml:space="preserve"> Глава 6. Фасады</w:t>
      </w:r>
    </w:p>
    <w:bookmarkEnd w:id="73"/>
    <w:bookmarkStart w:name="z75" w:id="74"/>
    <w:p>
      <w:pPr>
        <w:spacing w:after="0"/>
        <w:ind w:left="0"/>
        <w:jc w:val="both"/>
      </w:pPr>
      <w:r>
        <w:rPr>
          <w:rFonts w:ascii="Times New Roman"/>
          <w:b w:val="false"/>
          <w:i w:val="false"/>
          <w:color w:val="000000"/>
          <w:sz w:val="28"/>
        </w:rPr>
        <w:t>
      67. При оформлении фасадов зданий не допускается заплаточный ремонт и покраска фрагментов стен в разные оттенки. Цвет и покраска стен зданий должны быть однородными.</w:t>
      </w:r>
    </w:p>
    <w:bookmarkEnd w:id="74"/>
    <w:bookmarkStart w:name="z76" w:id="75"/>
    <w:p>
      <w:pPr>
        <w:spacing w:after="0"/>
        <w:ind w:left="0"/>
        <w:jc w:val="both"/>
      </w:pPr>
      <w:r>
        <w:rPr>
          <w:rFonts w:ascii="Times New Roman"/>
          <w:b w:val="false"/>
          <w:i w:val="false"/>
          <w:color w:val="000000"/>
          <w:sz w:val="28"/>
        </w:rPr>
        <w:t>
      68. При выборе типа отделки и цветового решения в процессе реставрации и косметического ремонта зданий необходимо руководствоваться историческими данными и исходным проектом. В случае отсутствия исторических данных о здании, необходимо придерживаться архитектурного ансамбля местности.</w:t>
      </w:r>
    </w:p>
    <w:bookmarkEnd w:id="75"/>
    <w:bookmarkStart w:name="z77" w:id="76"/>
    <w:p>
      <w:pPr>
        <w:spacing w:after="0"/>
        <w:ind w:left="0"/>
        <w:jc w:val="both"/>
      </w:pPr>
      <w:r>
        <w:rPr>
          <w:rFonts w:ascii="Times New Roman"/>
          <w:b w:val="false"/>
          <w:i w:val="false"/>
          <w:color w:val="000000"/>
          <w:sz w:val="28"/>
        </w:rPr>
        <w:t>
      69. При отделке фасада не допускается использование сайдинга (за исключением индивидуальных жилых домов), профилированного металлического листа (за исключением промышленных объектов) неокрашенных хризотилцементных плоских листов.</w:t>
      </w:r>
    </w:p>
    <w:bookmarkEnd w:id="76"/>
    <w:bookmarkStart w:name="z78" w:id="77"/>
    <w:p>
      <w:pPr>
        <w:spacing w:after="0"/>
        <w:ind w:left="0"/>
        <w:jc w:val="both"/>
      </w:pPr>
      <w:r>
        <w:rPr>
          <w:rFonts w:ascii="Times New Roman"/>
          <w:b w:val="false"/>
          <w:i w:val="false"/>
          <w:color w:val="000000"/>
          <w:sz w:val="28"/>
        </w:rPr>
        <w:t>
      70. При капитальном ремонте и реконструкции фасадов зданий, предусматривающих дополнительное утепление и применение системы вентилируемых фасадов, финишная отделка выполняется из материалов, максимально приближенных к исходным свойствам стен, их поверхности и цвету.</w:t>
      </w:r>
    </w:p>
    <w:bookmarkEnd w:id="77"/>
    <w:bookmarkStart w:name="z79" w:id="78"/>
    <w:p>
      <w:pPr>
        <w:spacing w:after="0"/>
        <w:ind w:left="0"/>
        <w:jc w:val="both"/>
      </w:pPr>
      <w:r>
        <w:rPr>
          <w:rFonts w:ascii="Times New Roman"/>
          <w:b w:val="false"/>
          <w:i w:val="false"/>
          <w:color w:val="000000"/>
          <w:sz w:val="28"/>
        </w:rPr>
        <w:t>
      71. Не допускается использование в качестве финишной отделки систем вентилируемых фасадов квадратные керамогранитные и композитные панели.</w:t>
      </w:r>
    </w:p>
    <w:bookmarkEnd w:id="78"/>
    <w:bookmarkStart w:name="z80" w:id="79"/>
    <w:p>
      <w:pPr>
        <w:spacing w:after="0"/>
        <w:ind w:left="0"/>
        <w:jc w:val="both"/>
      </w:pPr>
      <w:r>
        <w:rPr>
          <w:rFonts w:ascii="Times New Roman"/>
          <w:b w:val="false"/>
          <w:i w:val="false"/>
          <w:color w:val="000000"/>
          <w:sz w:val="28"/>
        </w:rPr>
        <w:t>
      72. Утепление зданий производится комплексно для всего здания и согласовывается в структурном подразделении акимата города Алматы осуществляющим функции в сфере архитектуры и градостроительства.</w:t>
      </w:r>
    </w:p>
    <w:bookmarkEnd w:id="79"/>
    <w:bookmarkStart w:name="z81" w:id="80"/>
    <w:p>
      <w:pPr>
        <w:spacing w:after="0"/>
        <w:ind w:left="0"/>
        <w:jc w:val="both"/>
      </w:pPr>
      <w:r>
        <w:rPr>
          <w:rFonts w:ascii="Times New Roman"/>
          <w:b w:val="false"/>
          <w:i w:val="false"/>
          <w:color w:val="000000"/>
          <w:sz w:val="28"/>
        </w:rPr>
        <w:t>
      73. Необходимо использовать следующие приемы оформления фасадов зданий, по отдельности либо в комбинации:</w:t>
      </w:r>
    </w:p>
    <w:bookmarkEnd w:id="80"/>
    <w:p>
      <w:pPr>
        <w:spacing w:after="0"/>
        <w:ind w:left="0"/>
        <w:jc w:val="both"/>
      </w:pPr>
      <w:r>
        <w:rPr>
          <w:rFonts w:ascii="Times New Roman"/>
          <w:b w:val="false"/>
          <w:i w:val="false"/>
          <w:color w:val="000000"/>
          <w:sz w:val="28"/>
        </w:rPr>
        <w:t>
      1) исходный – восстановление исторического цветового решения;</w:t>
      </w:r>
    </w:p>
    <w:p>
      <w:pPr>
        <w:spacing w:after="0"/>
        <w:ind w:left="0"/>
        <w:jc w:val="both"/>
      </w:pPr>
      <w:r>
        <w:rPr>
          <w:rFonts w:ascii="Times New Roman"/>
          <w:b w:val="false"/>
          <w:i w:val="false"/>
          <w:color w:val="000000"/>
          <w:sz w:val="28"/>
        </w:rPr>
        <w:t>
      2) плоскостной – оформление плоскостей фасада с ориентацией по вертикали или горизонтали;</w:t>
      </w:r>
    </w:p>
    <w:p>
      <w:pPr>
        <w:spacing w:after="0"/>
        <w:ind w:left="0"/>
        <w:jc w:val="both"/>
      </w:pPr>
      <w:r>
        <w:rPr>
          <w:rFonts w:ascii="Times New Roman"/>
          <w:b w:val="false"/>
          <w:i w:val="false"/>
          <w:color w:val="000000"/>
          <w:sz w:val="28"/>
        </w:rPr>
        <w:t>
      3) акцентный – выделение цветом фрагментов фасада;</w:t>
      </w:r>
    </w:p>
    <w:p>
      <w:pPr>
        <w:spacing w:after="0"/>
        <w:ind w:left="0"/>
        <w:jc w:val="both"/>
      </w:pPr>
      <w:r>
        <w:rPr>
          <w:rFonts w:ascii="Times New Roman"/>
          <w:b w:val="false"/>
          <w:i w:val="false"/>
          <w:color w:val="000000"/>
          <w:sz w:val="28"/>
        </w:rPr>
        <w:t>
      4) декоративный – создание дополнительных декоративных элементов на торце фасада.</w:t>
      </w:r>
    </w:p>
    <w:bookmarkStart w:name="z82" w:id="81"/>
    <w:p>
      <w:pPr>
        <w:spacing w:after="0"/>
        <w:ind w:left="0"/>
        <w:jc w:val="both"/>
      </w:pPr>
      <w:r>
        <w:rPr>
          <w:rFonts w:ascii="Times New Roman"/>
          <w:b w:val="false"/>
          <w:i w:val="false"/>
          <w:color w:val="000000"/>
          <w:sz w:val="28"/>
        </w:rPr>
        <w:t>
      74. Все входные группы помещений в здании должны выполняться в одном формате, с использованием идентичных материалов и цветовых решений, либо выполняться в одной гамме с фасадом здания.</w:t>
      </w:r>
    </w:p>
    <w:bookmarkEnd w:id="81"/>
    <w:bookmarkStart w:name="z83" w:id="82"/>
    <w:p>
      <w:pPr>
        <w:spacing w:after="0"/>
        <w:ind w:left="0"/>
        <w:jc w:val="both"/>
      </w:pPr>
      <w:r>
        <w:rPr>
          <w:rFonts w:ascii="Times New Roman"/>
          <w:b w:val="false"/>
          <w:i w:val="false"/>
          <w:color w:val="000000"/>
          <w:sz w:val="28"/>
        </w:rPr>
        <w:t>
      75. Окна в зданиях, представляющих историческую и архитектурную ценность, при реконструкции должны восстанавливаться в соответствии с их историческим обликом.</w:t>
      </w:r>
    </w:p>
    <w:bookmarkEnd w:id="82"/>
    <w:p>
      <w:pPr>
        <w:spacing w:after="0"/>
        <w:ind w:left="0"/>
        <w:jc w:val="both"/>
      </w:pPr>
      <w:r>
        <w:rPr>
          <w:rFonts w:ascii="Times New Roman"/>
          <w:b w:val="false"/>
          <w:i w:val="false"/>
          <w:color w:val="000000"/>
          <w:sz w:val="28"/>
        </w:rPr>
        <w:t>
      Оконные переплеты должны быть одинаковыми во всем здании, цвет и материал рам идентичными, если в согласованном проекте не предусмотрено иное.</w:t>
      </w:r>
    </w:p>
    <w:bookmarkStart w:name="z84" w:id="83"/>
    <w:p>
      <w:pPr>
        <w:spacing w:after="0"/>
        <w:ind w:left="0"/>
        <w:jc w:val="both"/>
      </w:pPr>
      <w:r>
        <w:rPr>
          <w:rFonts w:ascii="Times New Roman"/>
          <w:b w:val="false"/>
          <w:i w:val="false"/>
          <w:color w:val="000000"/>
          <w:sz w:val="28"/>
        </w:rPr>
        <w:t>
      76. Балконные двери должны иметь остекление и сочетаться с оконными блоками здания по форме, цветовому решению и используемым материалам.</w:t>
      </w:r>
    </w:p>
    <w:bookmarkEnd w:id="83"/>
    <w:bookmarkStart w:name="z85" w:id="84"/>
    <w:p>
      <w:pPr>
        <w:spacing w:after="0"/>
        <w:ind w:left="0"/>
        <w:jc w:val="both"/>
      </w:pPr>
      <w:r>
        <w:rPr>
          <w:rFonts w:ascii="Times New Roman"/>
          <w:b w:val="false"/>
          <w:i w:val="false"/>
          <w:color w:val="000000"/>
          <w:sz w:val="28"/>
        </w:rPr>
        <w:t>
      77. Двери в зданиях, представляющих историческую и архитектурную ценность, восстанавливаются в соответствии с их историческим обликом.</w:t>
      </w:r>
    </w:p>
    <w:bookmarkEnd w:id="84"/>
    <w:p>
      <w:pPr>
        <w:spacing w:after="0"/>
        <w:ind w:left="0"/>
        <w:jc w:val="both"/>
      </w:pPr>
      <w:r>
        <w:rPr>
          <w:rFonts w:ascii="Times New Roman"/>
          <w:b w:val="false"/>
          <w:i w:val="false"/>
          <w:color w:val="000000"/>
          <w:sz w:val="28"/>
        </w:rPr>
        <w:t>
      Для входных дверей в зданиях современной постройки используются нейтральные или натуральные цвета профилей, если иное не предусмотрено в согласованном проекте. Входные двери должны сочетаться по стилю с окнами и фасадом.</w:t>
      </w:r>
    </w:p>
    <w:p>
      <w:pPr>
        <w:spacing w:after="0"/>
        <w:ind w:left="0"/>
        <w:jc w:val="both"/>
      </w:pPr>
      <w:r>
        <w:rPr>
          <w:rFonts w:ascii="Times New Roman"/>
          <w:b w:val="false"/>
          <w:i w:val="false"/>
          <w:color w:val="000000"/>
          <w:sz w:val="28"/>
        </w:rPr>
        <w:t>
      На первых и цокольных этажах, нежилых помещений необходимо устанавливать входные двери с остеклением.</w:t>
      </w:r>
    </w:p>
    <w:bookmarkStart w:name="z86" w:id="85"/>
    <w:p>
      <w:pPr>
        <w:spacing w:after="0"/>
        <w:ind w:left="0"/>
        <w:jc w:val="both"/>
      </w:pPr>
      <w:r>
        <w:rPr>
          <w:rFonts w:ascii="Times New Roman"/>
          <w:b w:val="false"/>
          <w:i w:val="false"/>
          <w:color w:val="000000"/>
          <w:sz w:val="28"/>
        </w:rPr>
        <w:t>
      78. Цветовые решения и материалы, используемые для отделки нежилых помещений первых и цокольных этажей (встроенных в здание), должны соответствовать архитектурному стилю фасада здания.</w:t>
      </w:r>
    </w:p>
    <w:bookmarkEnd w:id="85"/>
    <w:p>
      <w:pPr>
        <w:spacing w:after="0"/>
        <w:ind w:left="0"/>
        <w:jc w:val="both"/>
      </w:pPr>
      <w:r>
        <w:rPr>
          <w:rFonts w:ascii="Times New Roman"/>
          <w:b w:val="false"/>
          <w:i w:val="false"/>
          <w:color w:val="000000"/>
          <w:sz w:val="28"/>
        </w:rPr>
        <w:t>
      Не допускается перекрытие стен фасада первых этажей пленкой либо баннерами.</w:t>
      </w:r>
    </w:p>
    <w:bookmarkStart w:name="z87" w:id="86"/>
    <w:p>
      <w:pPr>
        <w:spacing w:after="0"/>
        <w:ind w:left="0"/>
        <w:jc w:val="both"/>
      </w:pPr>
      <w:r>
        <w:rPr>
          <w:rFonts w:ascii="Times New Roman"/>
          <w:b w:val="false"/>
          <w:i w:val="false"/>
          <w:color w:val="000000"/>
          <w:sz w:val="28"/>
        </w:rPr>
        <w:t>
      79. При строительстве, реконструкции и ремонте входных групп необходимо использовать материалы из натурального дерева или тонированной деревянной панели, прозрачные стеклянные двери и окна, металлические элементы.</w:t>
      </w:r>
    </w:p>
    <w:bookmarkEnd w:id="86"/>
    <w:bookmarkStart w:name="z88" w:id="87"/>
    <w:p>
      <w:pPr>
        <w:spacing w:after="0"/>
        <w:ind w:left="0"/>
        <w:jc w:val="both"/>
      </w:pPr>
      <w:r>
        <w:rPr>
          <w:rFonts w:ascii="Times New Roman"/>
          <w:b w:val="false"/>
          <w:i w:val="false"/>
          <w:color w:val="000000"/>
          <w:sz w:val="28"/>
        </w:rPr>
        <w:t>
      80. Входные группы оформляются компактными деревьями или кустарниками вдоль фасада и входа. Допускается оформление стен с помощью цветочных грядок и вертикального озеленения.</w:t>
      </w:r>
    </w:p>
    <w:bookmarkEnd w:id="87"/>
    <w:p>
      <w:pPr>
        <w:spacing w:after="0"/>
        <w:ind w:left="0"/>
        <w:jc w:val="both"/>
      </w:pPr>
      <w:r>
        <w:rPr>
          <w:rFonts w:ascii="Times New Roman"/>
          <w:b w:val="false"/>
          <w:i w:val="false"/>
          <w:color w:val="000000"/>
          <w:sz w:val="28"/>
        </w:rPr>
        <w:t>
      Входные группы оформляются архитектурными и декоративными элементами, по согласованию с уполномоченным органом.</w:t>
      </w:r>
    </w:p>
    <w:bookmarkStart w:name="z89" w:id="88"/>
    <w:p>
      <w:pPr>
        <w:spacing w:after="0"/>
        <w:ind w:left="0"/>
        <w:jc w:val="both"/>
      </w:pPr>
      <w:r>
        <w:rPr>
          <w:rFonts w:ascii="Times New Roman"/>
          <w:b w:val="false"/>
          <w:i w:val="false"/>
          <w:color w:val="000000"/>
          <w:sz w:val="28"/>
        </w:rPr>
        <w:t>
      81. Ограждения лестниц, выполненные из натуральных материалов, не подлежат окрашиванию, за исключением прозрачных пропиток, улучшающих общий вид.</w:t>
      </w:r>
    </w:p>
    <w:bookmarkEnd w:id="88"/>
    <w:p>
      <w:pPr>
        <w:spacing w:after="0"/>
        <w:ind w:left="0"/>
        <w:jc w:val="both"/>
      </w:pPr>
      <w:r>
        <w:rPr>
          <w:rFonts w:ascii="Times New Roman"/>
          <w:b w:val="false"/>
          <w:i w:val="false"/>
          <w:color w:val="000000"/>
          <w:sz w:val="28"/>
        </w:rPr>
        <w:t>
      Металлические ограждения окрашиваются в темный цвет. Необходимо использовать деревянные поручни.</w:t>
      </w:r>
    </w:p>
    <w:bookmarkStart w:name="z90" w:id="89"/>
    <w:p>
      <w:pPr>
        <w:spacing w:after="0"/>
        <w:ind w:left="0"/>
        <w:jc w:val="both"/>
      </w:pPr>
      <w:r>
        <w:rPr>
          <w:rFonts w:ascii="Times New Roman"/>
          <w:b w:val="false"/>
          <w:i w:val="false"/>
          <w:color w:val="000000"/>
          <w:sz w:val="28"/>
        </w:rPr>
        <w:t>
      82. Все техническое и инженерное оборудование должно размещаться на технических этажах. Технические и электрические провода необходимо прокладывать внутри стен, убирать с поверхности фасада либо прятать в специальные короба в цвет фасада.</w:t>
      </w:r>
    </w:p>
    <w:bookmarkEnd w:id="89"/>
    <w:p>
      <w:pPr>
        <w:spacing w:after="0"/>
        <w:ind w:left="0"/>
        <w:jc w:val="both"/>
      </w:pPr>
      <w:r>
        <w:rPr>
          <w:rFonts w:ascii="Times New Roman"/>
          <w:b w:val="false"/>
          <w:i w:val="false"/>
          <w:color w:val="000000"/>
          <w:sz w:val="28"/>
        </w:rPr>
        <w:t>
      Допускается прокладка проводов и вентиляционных труб по фасаду, если они расположены упорядоченно, в небольшом количестве и окрашены в цвет фасада. Прокладка инженерного оборудования по фасаду должна осуществляться строго вертикально или горизонтально. Элементы системы видеонаблюдения также рекомендуется окрашивать в цвет фасада.</w:t>
      </w:r>
    </w:p>
    <w:bookmarkStart w:name="z91" w:id="90"/>
    <w:p>
      <w:pPr>
        <w:spacing w:after="0"/>
        <w:ind w:left="0"/>
        <w:jc w:val="both"/>
      </w:pPr>
      <w:r>
        <w:rPr>
          <w:rFonts w:ascii="Times New Roman"/>
          <w:b w:val="false"/>
          <w:i w:val="false"/>
          <w:color w:val="000000"/>
          <w:sz w:val="28"/>
        </w:rPr>
        <w:t>
      83. При установки инженерного и технического оборудования необходимо использовать скрытые элементы крепления.</w:t>
      </w:r>
    </w:p>
    <w:bookmarkEnd w:id="90"/>
    <w:p>
      <w:pPr>
        <w:spacing w:after="0"/>
        <w:ind w:left="0"/>
        <w:jc w:val="both"/>
      </w:pPr>
      <w:r>
        <w:rPr>
          <w:rFonts w:ascii="Times New Roman"/>
          <w:b w:val="false"/>
          <w:i w:val="false"/>
          <w:color w:val="000000"/>
          <w:sz w:val="28"/>
        </w:rPr>
        <w:t>
      Инженерное оборудование не должно перекрывать архитектурные элементы, окна и двери должны располагаться от них на расстоянии не менее 0,2 метра.</w:t>
      </w:r>
    </w:p>
    <w:bookmarkStart w:name="z92" w:id="91"/>
    <w:p>
      <w:pPr>
        <w:spacing w:after="0"/>
        <w:ind w:left="0"/>
        <w:jc w:val="both"/>
      </w:pPr>
      <w:r>
        <w:rPr>
          <w:rFonts w:ascii="Times New Roman"/>
          <w:b w:val="false"/>
          <w:i w:val="false"/>
          <w:color w:val="000000"/>
          <w:sz w:val="28"/>
        </w:rPr>
        <w:t>
      84. При эксплуатации объектов не допускается нарушение архитектурного стиля здания, сооружения, за исключением случаев, когда мероприятием по капитальному ремонту и реконструкции здания или сооружения предусматривается комплексное оформление фасада в едином стиле с применением идентичных строительных материалов;</w:t>
      </w:r>
    </w:p>
    <w:bookmarkEnd w:id="91"/>
    <w:bookmarkStart w:name="z93" w:id="92"/>
    <w:p>
      <w:pPr>
        <w:spacing w:after="0"/>
        <w:ind w:left="0"/>
        <w:jc w:val="both"/>
      </w:pPr>
      <w:r>
        <w:rPr>
          <w:rFonts w:ascii="Times New Roman"/>
          <w:b w:val="false"/>
          <w:i w:val="false"/>
          <w:color w:val="000000"/>
          <w:sz w:val="28"/>
        </w:rPr>
        <w:t>
      85. Установка кондиционеров и спутниковых и эфирных приемных устройств для приема спутникового или эфирного сигнала операторов связи и (или) телерадиовещания не допускается на лицевых сторонах фасадов зданий, расположенных на магистральных и транзитных улицах города, объектов историко-культурного наследия, а также поверх архитектурных деталей, элементов декора, архитектурно-декоративной отделки или креплений к ним.</w:t>
      </w:r>
    </w:p>
    <w:bookmarkEnd w:id="92"/>
    <w:bookmarkStart w:name="z94" w:id="93"/>
    <w:p>
      <w:pPr>
        <w:spacing w:after="0"/>
        <w:ind w:left="0"/>
        <w:jc w:val="both"/>
      </w:pPr>
      <w:r>
        <w:rPr>
          <w:rFonts w:ascii="Times New Roman"/>
          <w:b w:val="false"/>
          <w:i w:val="false"/>
          <w:color w:val="000000"/>
          <w:sz w:val="28"/>
        </w:rPr>
        <w:t>
      86. Электрические провода кондиционеров должны прокладываться внутри здания, не допускается прокладка по фасаду. Кондиционеры на возведенных зданиях переносятся в специальные короба или ниши на фасаде.</w:t>
      </w:r>
    </w:p>
    <w:bookmarkEnd w:id="93"/>
    <w:bookmarkStart w:name="z95" w:id="94"/>
    <w:p>
      <w:pPr>
        <w:spacing w:after="0"/>
        <w:ind w:left="0"/>
        <w:jc w:val="both"/>
      </w:pPr>
      <w:r>
        <w:rPr>
          <w:rFonts w:ascii="Times New Roman"/>
          <w:b w:val="false"/>
          <w:i w:val="false"/>
          <w:color w:val="000000"/>
          <w:sz w:val="28"/>
        </w:rPr>
        <w:t>
      87. Водосточные трубы и другие металлические элементы в пределах одного здания выполняются в едином стиле. Трубы окрашиваются в цвет стен.</w:t>
      </w:r>
    </w:p>
    <w:bookmarkEnd w:id="94"/>
    <w:bookmarkStart w:name="z96" w:id="95"/>
    <w:p>
      <w:pPr>
        <w:spacing w:after="0"/>
        <w:ind w:left="0"/>
        <w:jc w:val="both"/>
      </w:pPr>
      <w:r>
        <w:rPr>
          <w:rFonts w:ascii="Times New Roman"/>
          <w:b w:val="false"/>
          <w:i w:val="false"/>
          <w:color w:val="000000"/>
          <w:sz w:val="28"/>
        </w:rPr>
        <w:t>
      88. Водосточные трубы наружного водостока в процессе строительства либо реконструкции необходимо направлять (с подогревом) напрямую в закрытой трубе ниже уровня уличного мощения напрямую в ливневую канализацию.</w:t>
      </w:r>
    </w:p>
    <w:bookmarkEnd w:id="95"/>
    <w:bookmarkStart w:name="z97" w:id="96"/>
    <w:p>
      <w:pPr>
        <w:spacing w:after="0"/>
        <w:ind w:left="0"/>
        <w:jc w:val="both"/>
      </w:pPr>
      <w:r>
        <w:rPr>
          <w:rFonts w:ascii="Times New Roman"/>
          <w:b w:val="false"/>
          <w:i w:val="false"/>
          <w:color w:val="000000"/>
          <w:sz w:val="28"/>
        </w:rPr>
        <w:t>
      89. При проектировании городских пространств, для отвода ливневых стоков необходимо предусматривать ливневую канализацию.</w:t>
      </w:r>
    </w:p>
    <w:bookmarkEnd w:id="96"/>
    <w:bookmarkStart w:name="z98" w:id="97"/>
    <w:p>
      <w:pPr>
        <w:spacing w:after="0"/>
        <w:ind w:left="0"/>
        <w:jc w:val="both"/>
      </w:pPr>
      <w:r>
        <w:rPr>
          <w:rFonts w:ascii="Times New Roman"/>
          <w:b w:val="false"/>
          <w:i w:val="false"/>
          <w:color w:val="000000"/>
          <w:sz w:val="28"/>
        </w:rPr>
        <w:t>
      Арычную систему использовать только для полива и в местах отсутствия закрытой ливневой канализации.</w:t>
      </w:r>
    </w:p>
    <w:bookmarkEnd w:id="97"/>
    <w:bookmarkStart w:name="z99" w:id="98"/>
    <w:p>
      <w:pPr>
        <w:spacing w:after="0"/>
        <w:ind w:left="0"/>
        <w:jc w:val="both"/>
      </w:pPr>
      <w:r>
        <w:rPr>
          <w:rFonts w:ascii="Times New Roman"/>
          <w:b w:val="false"/>
          <w:i w:val="false"/>
          <w:color w:val="000000"/>
          <w:sz w:val="28"/>
        </w:rPr>
        <w:t>
      90. При капитальном ремонте или реконструкции, существующие пристройки к зданиям необходимо привести в соответствие с общей стилистикой и архитектурой основного здания.</w:t>
      </w:r>
    </w:p>
    <w:bookmarkEnd w:id="98"/>
    <w:p>
      <w:pPr>
        <w:spacing w:after="0"/>
        <w:ind w:left="0"/>
        <w:jc w:val="both"/>
      </w:pPr>
      <w:r>
        <w:rPr>
          <w:rFonts w:ascii="Times New Roman"/>
          <w:b w:val="false"/>
          <w:i w:val="false"/>
          <w:color w:val="000000"/>
          <w:sz w:val="28"/>
        </w:rPr>
        <w:t>
      Материалы, используемые в отделке пристроек должны сочетаться с отделкой фасада основного здания. Отделка пристроек профилированным листом, крупными композитными панелями не допускается.</w:t>
      </w:r>
    </w:p>
    <w:p>
      <w:pPr>
        <w:spacing w:after="0"/>
        <w:ind w:left="0"/>
        <w:jc w:val="both"/>
      </w:pPr>
      <w:r>
        <w:rPr>
          <w:rFonts w:ascii="Times New Roman"/>
          <w:b w:val="false"/>
          <w:i w:val="false"/>
          <w:color w:val="000000"/>
          <w:sz w:val="28"/>
        </w:rPr>
        <w:t>
      Цвета отделки кровли устанавливаются в серый или темный оттенки, а также сдержанным оттенкам бордового и коричневого цветов.</w:t>
      </w:r>
    </w:p>
    <w:p>
      <w:pPr>
        <w:spacing w:after="0"/>
        <w:ind w:left="0"/>
        <w:jc w:val="both"/>
      </w:pPr>
      <w:r>
        <w:rPr>
          <w:rFonts w:ascii="Times New Roman"/>
          <w:b w:val="false"/>
          <w:i w:val="false"/>
          <w:color w:val="000000"/>
          <w:sz w:val="28"/>
        </w:rPr>
        <w:t>
      Кровля на всем здании должна изготавливаться из одного материала и окрашиваться в один цвет. Цвет кровли должен сочетаться с цветом открытой водосточной системы и металлических элементов ограждения.</w:t>
      </w:r>
    </w:p>
    <w:bookmarkStart w:name="z100" w:id="99"/>
    <w:p>
      <w:pPr>
        <w:spacing w:after="0"/>
        <w:ind w:left="0"/>
        <w:jc w:val="both"/>
      </w:pPr>
      <w:r>
        <w:rPr>
          <w:rFonts w:ascii="Times New Roman"/>
          <w:b w:val="false"/>
          <w:i w:val="false"/>
          <w:color w:val="000000"/>
          <w:sz w:val="28"/>
        </w:rPr>
        <w:t>
      91. Вентиляционные шахты и прочие элементы оборудования, устанавливаемые на крышах, должны сочетаться по цвету и материалу с кровлей и фасадом здания. Не допускается использование оцинкованного металла.</w:t>
      </w:r>
    </w:p>
    <w:bookmarkEnd w:id="99"/>
    <w:bookmarkStart w:name="z101" w:id="100"/>
    <w:p>
      <w:pPr>
        <w:spacing w:after="0"/>
        <w:ind w:left="0"/>
        <w:jc w:val="both"/>
      </w:pPr>
      <w:r>
        <w:rPr>
          <w:rFonts w:ascii="Times New Roman"/>
          <w:b w:val="false"/>
          <w:i w:val="false"/>
          <w:color w:val="000000"/>
          <w:sz w:val="28"/>
        </w:rPr>
        <w:t>
      92. Необходимо окрашивать торцы зданий в цвет фасадов, полностью глухие торцы декорировать. Глухие торцы зданий, не имеющие культурной, исторической или художественной значимости, оформлять с помощью декоративной подсветки, вертикального озеленения, арт-объектов, муралов и мозаик.</w:t>
      </w:r>
    </w:p>
    <w:bookmarkEnd w:id="100"/>
    <w:bookmarkStart w:name="z102" w:id="101"/>
    <w:p>
      <w:pPr>
        <w:spacing w:after="0"/>
        <w:ind w:left="0"/>
        <w:jc w:val="both"/>
      </w:pPr>
      <w:r>
        <w:rPr>
          <w:rFonts w:ascii="Times New Roman"/>
          <w:b w:val="false"/>
          <w:i w:val="false"/>
          <w:color w:val="000000"/>
          <w:sz w:val="28"/>
        </w:rPr>
        <w:t>
      93. Существующие мозаики и рисунки, представляющие историческую или художественную ценность, уполномоченным органам или собственникам, обладающими вещными правами необходимо поддерживать объекты в надлежащем состоянии и не допускать ухудшение вида.</w:t>
      </w:r>
    </w:p>
    <w:bookmarkEnd w:id="101"/>
    <w:bookmarkStart w:name="z103" w:id="102"/>
    <w:p>
      <w:pPr>
        <w:spacing w:after="0"/>
        <w:ind w:left="0"/>
        <w:jc w:val="both"/>
      </w:pPr>
      <w:r>
        <w:rPr>
          <w:rFonts w:ascii="Times New Roman"/>
          <w:b w:val="false"/>
          <w:i w:val="false"/>
          <w:color w:val="000000"/>
          <w:sz w:val="28"/>
        </w:rPr>
        <w:t>
      94. Размещение муралов (граффити, стрит-арта), элементов городских пространств и декоративных деталей фасадов зданий осуществляется по согласованию с уполномоченным органом.</w:t>
      </w:r>
    </w:p>
    <w:bookmarkEnd w:id="102"/>
    <w:bookmarkStart w:name="z104" w:id="103"/>
    <w:p>
      <w:pPr>
        <w:spacing w:after="0"/>
        <w:ind w:left="0"/>
        <w:jc w:val="left"/>
      </w:pPr>
      <w:r>
        <w:rPr>
          <w:rFonts w:ascii="Times New Roman"/>
          <w:b/>
          <w:i w:val="false"/>
          <w:color w:val="000000"/>
        </w:rPr>
        <w:t xml:space="preserve"> Глава 7. Ограждения</w:t>
      </w:r>
    </w:p>
    <w:bookmarkEnd w:id="103"/>
    <w:bookmarkStart w:name="z105" w:id="104"/>
    <w:p>
      <w:pPr>
        <w:spacing w:after="0"/>
        <w:ind w:left="0"/>
        <w:jc w:val="both"/>
      </w:pPr>
      <w:r>
        <w:rPr>
          <w:rFonts w:ascii="Times New Roman"/>
          <w:b w:val="false"/>
          <w:i w:val="false"/>
          <w:color w:val="000000"/>
          <w:sz w:val="28"/>
        </w:rPr>
        <w:t>
      95. Ограждения состоят из модульных элементов, несущих стоек с элементами заполнения. Ограждения могут быть проницаемыми и сплошными.</w:t>
      </w:r>
    </w:p>
    <w:bookmarkEnd w:id="104"/>
    <w:bookmarkStart w:name="z106" w:id="105"/>
    <w:p>
      <w:pPr>
        <w:spacing w:after="0"/>
        <w:ind w:left="0"/>
        <w:jc w:val="both"/>
      </w:pPr>
      <w:r>
        <w:rPr>
          <w:rFonts w:ascii="Times New Roman"/>
          <w:b w:val="false"/>
          <w:i w:val="false"/>
          <w:color w:val="000000"/>
          <w:sz w:val="28"/>
        </w:rPr>
        <w:t>
      96. Ограждения должны быть стилистически едиными с окружающей средой и не создавать визуальных барьеров.</w:t>
      </w:r>
    </w:p>
    <w:bookmarkEnd w:id="105"/>
    <w:bookmarkStart w:name="z107" w:id="106"/>
    <w:p>
      <w:pPr>
        <w:spacing w:after="0"/>
        <w:ind w:left="0"/>
        <w:jc w:val="both"/>
      </w:pPr>
      <w:r>
        <w:rPr>
          <w:rFonts w:ascii="Times New Roman"/>
          <w:b w:val="false"/>
          <w:i w:val="false"/>
          <w:color w:val="000000"/>
          <w:sz w:val="28"/>
        </w:rPr>
        <w:t>
      97. Ограждения устанавливаются в случаях, когда это является необходимостью для эксплуатации зданий. В иных случаях необходимо использовать живые изгороди, деревья.</w:t>
      </w:r>
    </w:p>
    <w:bookmarkEnd w:id="106"/>
    <w:bookmarkStart w:name="z108" w:id="107"/>
    <w:p>
      <w:pPr>
        <w:spacing w:after="0"/>
        <w:ind w:left="0"/>
        <w:jc w:val="both"/>
      </w:pPr>
      <w:r>
        <w:rPr>
          <w:rFonts w:ascii="Times New Roman"/>
          <w:b w:val="false"/>
          <w:i w:val="false"/>
          <w:color w:val="000000"/>
          <w:sz w:val="28"/>
        </w:rPr>
        <w:t>
      98. При строительстве и установке ограждений, необходимо соблюдать следующие требования:</w:t>
      </w:r>
    </w:p>
    <w:bookmarkEnd w:id="107"/>
    <w:p>
      <w:pPr>
        <w:spacing w:after="0"/>
        <w:ind w:left="0"/>
        <w:jc w:val="both"/>
      </w:pPr>
      <w:r>
        <w:rPr>
          <w:rFonts w:ascii="Times New Roman"/>
          <w:b w:val="false"/>
          <w:i w:val="false"/>
          <w:color w:val="000000"/>
          <w:sz w:val="28"/>
        </w:rPr>
        <w:t>
      1) При установке ограждений на рельефе следует обеспечить возможность крепления элементов к стойкам на разных уровнях.</w:t>
      </w:r>
    </w:p>
    <w:p>
      <w:pPr>
        <w:spacing w:after="0"/>
        <w:ind w:left="0"/>
        <w:jc w:val="both"/>
      </w:pPr>
      <w:r>
        <w:rPr>
          <w:rFonts w:ascii="Times New Roman"/>
          <w:b w:val="false"/>
          <w:i w:val="false"/>
          <w:color w:val="000000"/>
          <w:sz w:val="28"/>
        </w:rPr>
        <w:t>
      2) В качестве ограждений возможно использование подпорных стен и габионов, шумозащитных экранов.</w:t>
      </w:r>
    </w:p>
    <w:p>
      <w:pPr>
        <w:spacing w:after="0"/>
        <w:ind w:left="0"/>
        <w:jc w:val="both"/>
      </w:pPr>
      <w:r>
        <w:rPr>
          <w:rFonts w:ascii="Times New Roman"/>
          <w:b w:val="false"/>
          <w:i w:val="false"/>
          <w:color w:val="000000"/>
          <w:sz w:val="28"/>
        </w:rPr>
        <w:t>
      3) Высота сетчатых ограждений спортивных площадок составляет от 3 метров до 6 метров. Основание ограждения может быть выполнено в виде сплошной части высотой 1,2 метра.</w:t>
      </w:r>
    </w:p>
    <w:bookmarkStart w:name="z109" w:id="108"/>
    <w:p>
      <w:pPr>
        <w:spacing w:after="0"/>
        <w:ind w:left="0"/>
        <w:jc w:val="both"/>
      </w:pPr>
      <w:r>
        <w:rPr>
          <w:rFonts w:ascii="Times New Roman"/>
          <w:b w:val="false"/>
          <w:i w:val="false"/>
          <w:color w:val="000000"/>
          <w:sz w:val="28"/>
        </w:rPr>
        <w:t>
      99. Не допускается располагать заборы и иные ограды перед главными фасадами зданий со стороны прилегающих к ним улиц, за исключением режимных и социальных объектов.</w:t>
      </w:r>
    </w:p>
    <w:bookmarkEnd w:id="108"/>
    <w:bookmarkStart w:name="z110" w:id="109"/>
    <w:p>
      <w:pPr>
        <w:spacing w:after="0"/>
        <w:ind w:left="0"/>
        <w:jc w:val="both"/>
      </w:pPr>
      <w:r>
        <w:rPr>
          <w:rFonts w:ascii="Times New Roman"/>
          <w:b w:val="false"/>
          <w:i w:val="false"/>
          <w:color w:val="000000"/>
          <w:sz w:val="28"/>
        </w:rPr>
        <w:t>
      100. Не допускается использование глухих заборов и иных оград для ограждения территории, за исключением индивидуальных жилых домов и режимных объектов.</w:t>
      </w:r>
    </w:p>
    <w:bookmarkEnd w:id="109"/>
    <w:bookmarkStart w:name="z111" w:id="110"/>
    <w:p>
      <w:pPr>
        <w:spacing w:after="0"/>
        <w:ind w:left="0"/>
        <w:jc w:val="both"/>
      </w:pPr>
      <w:r>
        <w:rPr>
          <w:rFonts w:ascii="Times New Roman"/>
          <w:b w:val="false"/>
          <w:i w:val="false"/>
          <w:color w:val="000000"/>
          <w:sz w:val="28"/>
        </w:rPr>
        <w:t>
      101. Установка пешеходных ограждений не допускается, за исключением мест с перепадами высоты рельефа. При этом высота ограждения составляет 1 метр.</w:t>
      </w:r>
    </w:p>
    <w:bookmarkEnd w:id="110"/>
    <w:bookmarkStart w:name="z112" w:id="111"/>
    <w:p>
      <w:pPr>
        <w:spacing w:after="0"/>
        <w:ind w:left="0"/>
        <w:jc w:val="both"/>
      </w:pPr>
      <w:r>
        <w:rPr>
          <w:rFonts w:ascii="Times New Roman"/>
          <w:b w:val="false"/>
          <w:i w:val="false"/>
          <w:color w:val="000000"/>
          <w:sz w:val="28"/>
        </w:rPr>
        <w:t>
      102. При строительстве и установке пешеходных ограждений, необходимо соблюдать следующие требования к элементам:</w:t>
      </w:r>
    </w:p>
    <w:bookmarkEnd w:id="111"/>
    <w:p>
      <w:pPr>
        <w:spacing w:after="0"/>
        <w:ind w:left="0"/>
        <w:jc w:val="both"/>
      </w:pPr>
      <w:r>
        <w:rPr>
          <w:rFonts w:ascii="Times New Roman"/>
          <w:b w:val="false"/>
          <w:i w:val="false"/>
          <w:color w:val="000000"/>
          <w:sz w:val="28"/>
        </w:rPr>
        <w:t>
      1) Высота пешеходных ограждений составляет 1 метр, с частотой секций предотвращающих прохода детей, животных. Высота нижней продольной перекладины до фундамента составляет не менее 0,15 метра.</w:t>
      </w:r>
    </w:p>
    <w:p>
      <w:pPr>
        <w:spacing w:after="0"/>
        <w:ind w:left="0"/>
        <w:jc w:val="both"/>
      </w:pPr>
      <w:r>
        <w:rPr>
          <w:rFonts w:ascii="Times New Roman"/>
          <w:b w:val="false"/>
          <w:i w:val="false"/>
          <w:color w:val="000000"/>
          <w:sz w:val="28"/>
        </w:rPr>
        <w:t>
      2) Следует предусмотреть возможность крепления элементов к стойкам на разных уровнях поверхности. Начальные и концевые стойки оснащаются светоотражателями.</w:t>
      </w:r>
    </w:p>
    <w:bookmarkStart w:name="z113" w:id="112"/>
    <w:p>
      <w:pPr>
        <w:spacing w:after="0"/>
        <w:ind w:left="0"/>
        <w:jc w:val="both"/>
      </w:pPr>
      <w:r>
        <w:rPr>
          <w:rFonts w:ascii="Times New Roman"/>
          <w:b w:val="false"/>
          <w:i w:val="false"/>
          <w:color w:val="000000"/>
          <w:sz w:val="28"/>
        </w:rPr>
        <w:t>
      103. Ограничители устанавливаются в виде плотной посадки кустарников, установки городской мебели, контейнерного озеленения, использование повышенного бордюра.</w:t>
      </w:r>
    </w:p>
    <w:bookmarkEnd w:id="112"/>
    <w:bookmarkStart w:name="z114" w:id="113"/>
    <w:p>
      <w:pPr>
        <w:spacing w:after="0"/>
        <w:ind w:left="0"/>
        <w:jc w:val="both"/>
      </w:pPr>
      <w:r>
        <w:rPr>
          <w:rFonts w:ascii="Times New Roman"/>
          <w:b w:val="false"/>
          <w:i w:val="false"/>
          <w:color w:val="000000"/>
          <w:sz w:val="28"/>
        </w:rPr>
        <w:t>
      104. При установке ограничителей, необходимо соблюдать требования соответствия к общему городскому облику, сочетаясь с архитектурным и ландшафтным стилем.</w:t>
      </w:r>
    </w:p>
    <w:bookmarkEnd w:id="113"/>
    <w:bookmarkStart w:name="z115" w:id="114"/>
    <w:p>
      <w:pPr>
        <w:spacing w:after="0"/>
        <w:ind w:left="0"/>
        <w:jc w:val="both"/>
      </w:pPr>
      <w:r>
        <w:rPr>
          <w:rFonts w:ascii="Times New Roman"/>
          <w:b w:val="false"/>
          <w:i w:val="false"/>
          <w:color w:val="000000"/>
          <w:sz w:val="28"/>
        </w:rPr>
        <w:t>
      105. Временные ограждения устанавливаются на срок не более 12 месяцев, а также подлежат своевременному ремонту или демонтажу по требованию уполномоченного органа.</w:t>
      </w:r>
    </w:p>
    <w:bookmarkEnd w:id="114"/>
    <w:bookmarkStart w:name="z116" w:id="115"/>
    <w:p>
      <w:pPr>
        <w:spacing w:after="0"/>
        <w:ind w:left="0"/>
        <w:jc w:val="both"/>
      </w:pPr>
      <w:r>
        <w:rPr>
          <w:rFonts w:ascii="Times New Roman"/>
          <w:b w:val="false"/>
          <w:i w:val="false"/>
          <w:color w:val="000000"/>
          <w:sz w:val="28"/>
        </w:rPr>
        <w:t xml:space="preserve">
      106. Временные ограждения устанавливаются для обустройства строительных площадок, для безопасности населения, во время городских мероприятий согласно </w:t>
      </w:r>
      <w:r>
        <w:rPr>
          <w:rFonts w:ascii="Times New Roman"/>
          <w:b w:val="false"/>
          <w:i w:val="false"/>
          <w:color w:val="000000"/>
          <w:sz w:val="28"/>
        </w:rPr>
        <w:t>Приложению 11</w:t>
      </w:r>
      <w:r>
        <w:rPr>
          <w:rFonts w:ascii="Times New Roman"/>
          <w:b w:val="false"/>
          <w:i w:val="false"/>
          <w:color w:val="000000"/>
          <w:sz w:val="28"/>
        </w:rPr>
        <w:t xml:space="preserve"> к Дизайн-коду.</w:t>
      </w:r>
    </w:p>
    <w:bookmarkEnd w:id="115"/>
    <w:bookmarkStart w:name="z117" w:id="116"/>
    <w:p>
      <w:pPr>
        <w:spacing w:after="0"/>
        <w:ind w:left="0"/>
        <w:jc w:val="both"/>
      </w:pPr>
      <w:r>
        <w:rPr>
          <w:rFonts w:ascii="Times New Roman"/>
          <w:b w:val="false"/>
          <w:i w:val="false"/>
          <w:color w:val="000000"/>
          <w:sz w:val="28"/>
        </w:rPr>
        <w:t>
      107. При установке временных ограждений, необходимо соблюдать следующие требования:</w:t>
      </w:r>
    </w:p>
    <w:bookmarkEnd w:id="116"/>
    <w:p>
      <w:pPr>
        <w:spacing w:after="0"/>
        <w:ind w:left="0"/>
        <w:jc w:val="both"/>
      </w:pPr>
      <w:r>
        <w:rPr>
          <w:rFonts w:ascii="Times New Roman"/>
          <w:b w:val="false"/>
          <w:i w:val="false"/>
          <w:color w:val="000000"/>
          <w:sz w:val="28"/>
        </w:rPr>
        <w:t>
      1) ограждения должны быть модульными и транспортируемыми;</w:t>
      </w:r>
    </w:p>
    <w:p>
      <w:pPr>
        <w:spacing w:after="0"/>
        <w:ind w:left="0"/>
        <w:jc w:val="both"/>
      </w:pPr>
      <w:r>
        <w:rPr>
          <w:rFonts w:ascii="Times New Roman"/>
          <w:b w:val="false"/>
          <w:i w:val="false"/>
          <w:color w:val="000000"/>
          <w:sz w:val="28"/>
        </w:rPr>
        <w:t>
      2) ограждения должны быть выполнены по одному проекту, из одного материала и выкрашены в один цвет или цветовое решение мероприятия;</w:t>
      </w:r>
    </w:p>
    <w:p>
      <w:pPr>
        <w:spacing w:after="0"/>
        <w:ind w:left="0"/>
        <w:jc w:val="both"/>
      </w:pPr>
      <w:r>
        <w:rPr>
          <w:rFonts w:ascii="Times New Roman"/>
          <w:b w:val="false"/>
          <w:i w:val="false"/>
          <w:color w:val="000000"/>
          <w:sz w:val="28"/>
        </w:rPr>
        <w:t>
      3) размещать информацию о производимых строительно-монтажных работах для населения.</w:t>
      </w:r>
    </w:p>
    <w:p>
      <w:pPr>
        <w:spacing w:after="0"/>
        <w:ind w:left="0"/>
        <w:jc w:val="left"/>
      </w:pPr>
      <w:r>
        <w:rPr>
          <w:rFonts w:ascii="Times New Roman"/>
          <w:b/>
          <w:i w:val="false"/>
          <w:color w:val="000000"/>
        </w:rPr>
        <w:t xml:space="preserve"> Глава 8. Освещение городского пространства.</w:t>
      </w:r>
    </w:p>
    <w:bookmarkStart w:name="z118" w:id="117"/>
    <w:p>
      <w:pPr>
        <w:spacing w:after="0"/>
        <w:ind w:left="0"/>
        <w:jc w:val="both"/>
      </w:pPr>
      <w:r>
        <w:rPr>
          <w:rFonts w:ascii="Times New Roman"/>
          <w:b w:val="false"/>
          <w:i w:val="false"/>
          <w:color w:val="000000"/>
          <w:sz w:val="28"/>
        </w:rPr>
        <w:t>
      108. Элементы городского освещения должны быть интегрированы в дизайн защитного цоколя столбов и обеспечивать единый стиль городского освещения.</w:t>
      </w:r>
    </w:p>
    <w:bookmarkEnd w:id="117"/>
    <w:bookmarkStart w:name="z119" w:id="118"/>
    <w:p>
      <w:pPr>
        <w:spacing w:after="0"/>
        <w:ind w:left="0"/>
        <w:jc w:val="both"/>
      </w:pPr>
      <w:r>
        <w:rPr>
          <w:rFonts w:ascii="Times New Roman"/>
          <w:b w:val="false"/>
          <w:i w:val="false"/>
          <w:color w:val="000000"/>
          <w:sz w:val="28"/>
        </w:rPr>
        <w:t>
      109. Необходимо внедрение антивандальных решений в конструкцию, защитных экранов или устойчивых материалов, обеспечивающих единый стиль и долговечность. Опоры освещения необходимо выполнять с рельефной текстурой.</w:t>
      </w:r>
    </w:p>
    <w:bookmarkEnd w:id="118"/>
    <w:bookmarkStart w:name="z120" w:id="119"/>
    <w:p>
      <w:pPr>
        <w:spacing w:after="0"/>
        <w:ind w:left="0"/>
        <w:jc w:val="both"/>
      </w:pPr>
      <w:r>
        <w:rPr>
          <w:rFonts w:ascii="Times New Roman"/>
          <w:b w:val="false"/>
          <w:i w:val="false"/>
          <w:color w:val="000000"/>
          <w:sz w:val="28"/>
        </w:rPr>
        <w:t>
      110. Элементы освещения должны обеспечивать хорошую видимость в темное время суток, повышая безопасность передвижения пешеходов, средств микро мобильности и транспортных средств.</w:t>
      </w:r>
    </w:p>
    <w:bookmarkEnd w:id="119"/>
    <w:bookmarkStart w:name="z121" w:id="120"/>
    <w:p>
      <w:pPr>
        <w:spacing w:after="0"/>
        <w:ind w:left="0"/>
        <w:jc w:val="both"/>
      </w:pPr>
      <w:r>
        <w:rPr>
          <w:rFonts w:ascii="Times New Roman"/>
          <w:b w:val="false"/>
          <w:i w:val="false"/>
          <w:color w:val="000000"/>
          <w:sz w:val="28"/>
        </w:rPr>
        <w:t>
      111. Элементы городского освещения не должны засвечивать окна жилых домов.</w:t>
      </w:r>
    </w:p>
    <w:bookmarkEnd w:id="120"/>
    <w:bookmarkStart w:name="z122" w:id="121"/>
    <w:p>
      <w:pPr>
        <w:spacing w:after="0"/>
        <w:ind w:left="0"/>
        <w:jc w:val="both"/>
      </w:pPr>
      <w:r>
        <w:rPr>
          <w:rFonts w:ascii="Times New Roman"/>
          <w:b w:val="false"/>
          <w:i w:val="false"/>
          <w:color w:val="000000"/>
          <w:sz w:val="28"/>
        </w:rPr>
        <w:t xml:space="preserve">
      112. Высота вертикальных элементов освещения может варьироваться от 8 метров до 20 метров, для пешеходных тротуаров отдельными светильниками высотой от 4 до 7 метров согласно </w:t>
      </w:r>
      <w:r>
        <w:rPr>
          <w:rFonts w:ascii="Times New Roman"/>
          <w:b w:val="false"/>
          <w:i w:val="false"/>
          <w:color w:val="000000"/>
          <w:sz w:val="28"/>
        </w:rPr>
        <w:t>Приложению 12</w:t>
      </w:r>
      <w:r>
        <w:rPr>
          <w:rFonts w:ascii="Times New Roman"/>
          <w:b w:val="false"/>
          <w:i w:val="false"/>
          <w:color w:val="000000"/>
          <w:sz w:val="28"/>
        </w:rPr>
        <w:t xml:space="preserve"> к Дизайн-коду.</w:t>
      </w:r>
    </w:p>
    <w:bookmarkEnd w:id="121"/>
    <w:bookmarkStart w:name="z123" w:id="122"/>
    <w:p>
      <w:pPr>
        <w:spacing w:after="0"/>
        <w:ind w:left="0"/>
        <w:jc w:val="both"/>
      </w:pPr>
      <w:r>
        <w:rPr>
          <w:rFonts w:ascii="Times New Roman"/>
          <w:b w:val="false"/>
          <w:i w:val="false"/>
          <w:color w:val="000000"/>
          <w:sz w:val="28"/>
        </w:rPr>
        <w:t>
      113. Опоры освещения рекомендуется снабжать нижним кабельным соединением с ревизионным лючком для удобного обслуживания кабелей. Использование надземной прокладки электрических кабелей не допускается.</w:t>
      </w:r>
    </w:p>
    <w:bookmarkEnd w:id="122"/>
    <w:bookmarkStart w:name="z124" w:id="123"/>
    <w:p>
      <w:pPr>
        <w:spacing w:after="0"/>
        <w:ind w:left="0"/>
        <w:jc w:val="both"/>
      </w:pPr>
      <w:r>
        <w:rPr>
          <w:rFonts w:ascii="Times New Roman"/>
          <w:b w:val="false"/>
          <w:i w:val="false"/>
          <w:color w:val="000000"/>
          <w:sz w:val="28"/>
        </w:rPr>
        <w:t>
      114. Существующие надземные сети электрических кабелей должны перекладываться под землю.</w:t>
      </w:r>
    </w:p>
    <w:bookmarkEnd w:id="123"/>
    <w:bookmarkStart w:name="z125" w:id="124"/>
    <w:p>
      <w:pPr>
        <w:spacing w:after="0"/>
        <w:ind w:left="0"/>
        <w:jc w:val="both"/>
      </w:pPr>
      <w:r>
        <w:rPr>
          <w:rFonts w:ascii="Times New Roman"/>
          <w:b w:val="false"/>
          <w:i w:val="false"/>
          <w:color w:val="000000"/>
          <w:sz w:val="28"/>
        </w:rPr>
        <w:t>
      115. В городской среде необходимо устанавливать подсветку зданий и сооружений, малых архитектурных форм и уличной мебели.</w:t>
      </w:r>
    </w:p>
    <w:bookmarkEnd w:id="124"/>
    <w:bookmarkStart w:name="z126" w:id="125"/>
    <w:p>
      <w:pPr>
        <w:spacing w:after="0"/>
        <w:ind w:left="0"/>
        <w:jc w:val="both"/>
      </w:pPr>
      <w:r>
        <w:rPr>
          <w:rFonts w:ascii="Times New Roman"/>
          <w:b w:val="false"/>
          <w:i w:val="false"/>
          <w:color w:val="000000"/>
          <w:sz w:val="28"/>
        </w:rPr>
        <w:t>
      116. Необходимо использовать одноцветное, равномерное архитектурное освещение зданий и сооружений, малых архитектурных форм и уличной мебели.</w:t>
      </w:r>
    </w:p>
    <w:bookmarkEnd w:id="125"/>
    <w:bookmarkStart w:name="z127" w:id="126"/>
    <w:p>
      <w:pPr>
        <w:spacing w:after="0"/>
        <w:ind w:left="0"/>
        <w:jc w:val="both"/>
      </w:pPr>
      <w:r>
        <w:rPr>
          <w:rFonts w:ascii="Times New Roman"/>
          <w:b w:val="false"/>
          <w:i w:val="false"/>
          <w:color w:val="000000"/>
          <w:sz w:val="28"/>
        </w:rPr>
        <w:t>
      Интенсивность и направление архитектурного освещения не должно мешать пешеходам, пользователям средств микро мобильности и транспортным средствам.</w:t>
      </w:r>
    </w:p>
    <w:bookmarkEnd w:id="126"/>
    <w:bookmarkStart w:name="z128" w:id="127"/>
    <w:p>
      <w:pPr>
        <w:spacing w:after="0"/>
        <w:ind w:left="0"/>
        <w:jc w:val="both"/>
      </w:pPr>
      <w:r>
        <w:rPr>
          <w:rFonts w:ascii="Times New Roman"/>
          <w:b w:val="false"/>
          <w:i w:val="false"/>
          <w:color w:val="000000"/>
          <w:sz w:val="28"/>
        </w:rPr>
        <w:t xml:space="preserve">
      117. Муралы (граффити, стрит-арт), элементы городских пространств и декоративные детали фасадов зданий требуют обязательного освещения в ночное время суток согласно </w:t>
      </w:r>
      <w:r>
        <w:rPr>
          <w:rFonts w:ascii="Times New Roman"/>
          <w:b w:val="false"/>
          <w:i w:val="false"/>
          <w:color w:val="000000"/>
          <w:sz w:val="28"/>
        </w:rPr>
        <w:t>Приложению 13</w:t>
      </w:r>
      <w:r>
        <w:rPr>
          <w:rFonts w:ascii="Times New Roman"/>
          <w:b w:val="false"/>
          <w:i w:val="false"/>
          <w:color w:val="000000"/>
          <w:sz w:val="28"/>
        </w:rPr>
        <w:t xml:space="preserve"> к Дизайн-коду.</w:t>
      </w:r>
    </w:p>
    <w:bookmarkEnd w:id="127"/>
    <w:bookmarkStart w:name="z129" w:id="128"/>
    <w:p>
      <w:pPr>
        <w:spacing w:after="0"/>
        <w:ind w:left="0"/>
        <w:jc w:val="both"/>
      </w:pPr>
      <w:r>
        <w:rPr>
          <w:rFonts w:ascii="Times New Roman"/>
          <w:b w:val="false"/>
          <w:i w:val="false"/>
          <w:color w:val="000000"/>
          <w:sz w:val="28"/>
        </w:rPr>
        <w:t>
      118. Входные группы зданий и сооружений должны быть освещены светильниками над дверным проемом либо боковым освещением в ночное время суток.</w:t>
      </w:r>
    </w:p>
    <w:bookmarkEnd w:id="128"/>
    <w:bookmarkStart w:name="z130" w:id="129"/>
    <w:p>
      <w:pPr>
        <w:spacing w:after="0"/>
        <w:ind w:left="0"/>
        <w:jc w:val="both"/>
      </w:pPr>
      <w:r>
        <w:rPr>
          <w:rFonts w:ascii="Times New Roman"/>
          <w:b w:val="false"/>
          <w:i w:val="false"/>
          <w:color w:val="000000"/>
          <w:sz w:val="28"/>
        </w:rPr>
        <w:t>
      119. Другие требования, не урегулированные настоящим Дизайн-кодом регламентируются действующим законодательством Республики Казахстан.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Дизайн-коду </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Дизайн-коду</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Дизайн-коду</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Дизайн-коду</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Дизайн-коду</w:t>
            </w:r>
          </w:p>
        </w:tc>
      </w:tr>
    </w:tbl>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Дизайн-коду</w:t>
            </w:r>
          </w:p>
        </w:tc>
      </w:tr>
    </w:tbl>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Дизайн-коду</w:t>
            </w:r>
          </w:p>
        </w:tc>
      </w:tr>
    </w:tbl>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Дизайн-коду</w:t>
            </w:r>
          </w:p>
        </w:tc>
      </w:tr>
    </w:tbl>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Дизайн-коду</w:t>
            </w:r>
          </w:p>
        </w:tc>
      </w:tr>
    </w:tbl>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Дизайн-коду</w:t>
            </w:r>
          </w:p>
        </w:tc>
      </w:tr>
    </w:tbl>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Дизайн-коду</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Дизайн-коду</w:t>
            </w:r>
          </w:p>
        </w:tc>
      </w:tr>
    </w:tbl>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Дизайн-коду</w:t>
            </w:r>
          </w:p>
        </w:tc>
      </w:tr>
    </w:tbl>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