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456" w14:textId="3a38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по Кызылординской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марта 2023 года № 48. Зарегистрировано Департаментом юстиции Кызылординской области 28 марта 2023 года № 8380-11.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48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субсидируемых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тенге, 1 тонну (литр,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аммония,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азотные КАС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0,015%; 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 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вещества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ОГЭ на сухое органическое вещества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Mo-0,002- 0,012%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- 0,5%, экстракт морских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аминокислоты- 5,76%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С6H8O7,5% Дигидроортофосфат кальция Са(H2PO4)2,5%+ Этилендиаментетра-уксусной кислоты динатриевая соль 2 водная (ЭДТА) Na2-EDTA * 2 H2O, 3,5 % 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Поверхностно Активные Вещества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этилендиаминтетра уксусная;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 – этилендиаминдигидроксифенилацетат железа;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натрий;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 - барий;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- литий;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никель;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хром;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селен;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 – миллилитр;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- миллиграмм/килограмм;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 – миллиграмм/дециметр3.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мл/г - миллилитр/грамм;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ОГЭ – общий гуминовый экстракт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мг/га - миллиграмм/гектар;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48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по Кызылординской области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2 341 152 000,0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2 341 152 000,0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