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a91c" w14:textId="4a8a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Осакаровского районного маслихата от 25 декабря 2013 года №262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31 марта 2023 года № 2/18. Зарегистрировано Департаментом юстиции Карагандинской области 4 апреля 2023 года № 6372-09. Утратило силу решением Осакаровского районного маслихата Карагандинской области от 31 октября 2023 года № 12/110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Осакаровского районного маслихата Карагандинской области от 31.10.2023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№2523)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9)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памятные даты – события, имеющие общенародное историческое, духовное, культурное значение и оказавшие влияние на ход истории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предельный размер – утвержденный максимальный размер социальной помощи;";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к праздничным дням и памятным датам оказывается единовременно следующим категориям граждан: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– 1 мая: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приравненных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– 9 мая: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приравненных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Столицы – 6 июля: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–30 августа: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пожилых людей - 1 октября: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достигшим семидесяти лет и старше;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- 16 декабря: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принимавшие участие в событиях 17-18 декабря 1986 года в Казахстане, реабилитированные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освобожденным из мест лишения свободы и находящимся на учете службы пробации с учетом среднедушевого дохода лица (семьи), не превышающего порога однократного размера прожиточного минимума – единовременно в размере – 10 (десять) месячных расчетных показателей;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в течении шести месяцев с момента возникновения данной ситуации одному из собственников жилья (жилища), без учета среднедушевого дохода – единовременно в размере – 200 (двести) месячных расчетных показателей;";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родителям или иным законным представителям детей с инвалидностью и лицам, сопровождающим лиц с инвалидностью первой группы на санаторно-курортное лечение единовременно без учета среднедушевого дохода в размере 70 (семидесяти) процентов от гарантированной суммы, предоставляемой в качестве возмещения стоимости санатарно-курортного лечения на основании заявления с приложением документов, предусмотренных пунктом 13 Типовых правил.";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Основания для прекращения и возврата предоставляемой социальной помощи определяется согласно главе 4 Типовых правил.";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области.";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"11-1. Порядок обжалования решений, действий (бездействия) услугодателя и (или) его должностных лиц по вопросам оказания государственной услуги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государственной услуги "Назначение социальной помощи отдельным категориям нуждающихся граждан по решениям местных представительных органов", утвержденных Приказом Министра труда и социальной защиты населения Республики Казахстан от 25 марта 2021 года №84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за №22394).".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