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997f" w14:textId="9239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еҰ глубокой переработки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24 апреля 2023 года № 83. Зарегистрировано Департаментом юстиции области Абай 27 апреля 2023 года № 53-18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12-7)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 субсидий на закуп сельскохозяйственной продукции для производства продуктов ее глубокой переработки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тенге/л и тенге/кг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