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ef08" w14:textId="2b0e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Иргизского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мая 2023 года № 16. Зарегистрировано Департаментом юстиции Актюбинской области 16 мая 2023 года № 8351. Утратило силу решением Иргизского районного маслихата Актюбинской области от 15 сентября 2023 года № 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под № 7502)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11 мая 2023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Иргизского районного маслихата от 21 сентября 2020 года № 333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Иргизском районе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Иргизском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Иргизского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"Иргизский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статьей 16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Закона Республики Казахстан от 14 апреля 1993 года "О реабилитации жертв массовых политических репрессий", оказываются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–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"О ветеранах"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шестнадцати лет и детям с инвалидностью первой, второй, третьей групп с шестнадцати до восемнадцати лет, единовременно без учета среднедушевого дохода- в размере 50 000 (пятьдесят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согласно Закона Республики Казахстан от 14 апреля 1993 года "О реабилитации жертв массовых политических репрессий" – в размере 120 000 (сто двадцать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 и лица, страдающие туберкулезным заболеванием, находящиеся на амбулаторном лечении, согласно списков, представленных государственным коммунальным предприятием "Иргизская районная больница" на праве хозяйственного ведения государственного учреждения "Управление здравоохранения Актюбинской области", а также лица инфицированные вирусом иммунодефицита человека, согласно справок представляемых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 - предоставляется единовременно, с учетом среднедушевого дохода лица (семьи), не превышающего порога однократного размера прожиточного минимума -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малообеспеченным гражданам,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пострадавшим вследствие стихийного бедствия или пожара в течение шести месяцев с момента наступления данной ситуации по месту возникновения стихийного бедствия или пожара, без учета среднедушевого дохода в размере не более 300 000 (триста тысяч) тенге,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Правила распространяются на лиц, постоянно проживающих в Иргизском районе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порядке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