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edb2" w14:textId="dcce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декабря 2023 года № 101. Зарегистрирован в Министерстве юстиции Республики Казахстан 4 января 2024 года № 33881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 (зарегистрировано в Реестре государственной регистрации нормативных правовых актов под № 4361)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инвестиционных операций Национального фонда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мая 2001 года № 655 "О договоре о доверительном управлении Национальным фондом Республики Казахстан" и устанавливают порядок осуществления Национальным Банком Республики Казахстан (далее – Национальный Банк) инвестиционных операций при доверительном управлении Национальным фондом Республики Казахстан (далее – Фонд).";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26-4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Эталонным портфелем стабилизационного портфеля является индекс, состоящий из ценных бумаг, входящих в широкий индекс краткосрочных государственных ценных бумаг казначейства США (ICE BofA US Treasury Bill Index).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доходности и риска стабилизационного портфеля рассчитываются Национальным Банком ежедневно.";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44-3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"44-3. Оценка эффективности управления сберегательным портфелем проводится в долгосрочной перспективе методом скользящей оценки (rolling window) за периоды сроками в 5 (пять), 10 (десять) лет и с начала управления сберегательным портфелем.";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Целевое стратегическое распределение активов сберегательного портфеля определяется согласно приложению 2-1 к настоящим Правилам.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к целевому стратегическому распределению активов сберегательного портфеля осуществляется в последний рабочий день календарного квартала.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каждого отчетного года в случае отклонения любого класса активов на 3 (три) процента в течение первых 2 (двух) месяцев года, следующего за отчетным (январь и февраль), доля класса активов доводится до целевого стратегического распределения активов сберегательного портфеля в соответствии с приложением 2-1 к настоящим Правилам в срок до конца первого квартала года, следующего за отчетным.";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"48. Эталонным портфелем для портфеля государственных облигаций развитых стран является композитный индекс, состоящий из ценных бумаг, входящих в широкий индекс высоколиквидных государственных облигаций развитых стран (ICE BofA Global Government Index).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к эталонному распределению в композитном индексе государственных облигаций развитых стран осуществляется в последний рабочий день календарного квартала.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ценных бумаг в композитном индексе государственных облигаций развитых стран меняется ежемесячно.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доходности и риска портфеля государственных облигаций развитых стран рассчитываются Национальным Банком ежедневно.";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"51-2. Портфель государственных облигаций развивающихся стран состоит из: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портфеля государственных облигаций развивающихся стран с применением эталонного портфеля, состоящего из ценных бумаг, входящих в широкий индекс государственных облигаций развивающихся рынков (ICE BofA US Emerging Markets External Sovereign Index, ICE BofA Emerging Markets Corporate Plus Index, ICE BofA US Emerging Markets External Debt Sovereign &amp; Corporate Plus Index).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Эталонный портфель для портфеля государственных облигаций развивающихся стран не включает облигации стран с долей нефти в экспорте в размере более чем 80 (восемьдесят) процентов;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портфеля в китайских юанях без применения эталонного портфеля, объем которого не превышает 1 (один) процент от сберегательного портфеля.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51-3. Для портфеля государственных облигаций развивающихся стран применяются следующие условия: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минимальный кредитный рейтинг ценных бумаг портфеля государственных облигаций развивающихся стран соответствует уровню ВВ (Standard&amp;Poor's)/Ва2 (Moody’s) или аналогичному кредитному рейтингу других международных рейтинговых агентств.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2 (двух) и более кредитных рейтингов для ценных бумаг портфеля государственных облигаций развивающихся стран минимальный кредитный рейтинг определяется как наименьший из них.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значение кредитного рейтинга по ценной бумаге снижается ниже минимального кредитного рейтинга, Национальный Банк осуществляет мероприятия по ликвидации позиции по данной ценной бумаге с учетом текущей конъюнктуры рынка в срок не более 2 (двух) месяцев со дня снижения значения минимального кредитного рейтинга по ценной бумаге;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секторное распределение портфеля государственных облигаций развивающихся стран отдельного управляющего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51-10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51-11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"51-10. Эталонным портфелем для портфеля корпоративных облигаций является индекс, состоящий из ценных бумаг, входящих в широкий индекс корпоративных облигаций (ICE BofA Global Corporate &amp; High Yield Index).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Эталонный портфель для портфеля корпоративных облигаций не включает ценные бумаги, выпускаемые компаниями с повышенным уровнем выбросов парниковых газов, угледобывающими компаниями и производителями табачных изделий.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51-11. Минимальный кредитный рейтинг ценных бумаг портфеля корпоративных облигаций соответствует уровню ВВ (Standard&amp;Poor's)/Ва2 (Moody’s) или аналогичному кредитному рейтингу других международных рейтинговых агентств. 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2 (двух) и более кредитных рейтингов для ценных бумаг портфеля корпоративных облигаций минимальный кредитный рейтинг определяется как наименьший из них.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ценных бумаг в портфеле корпоративных облигаций с кредитным рейтингом ВВ (Standard&amp;Poor's)/Ва2 (Moody’s) или аналогичным кредитным рейтингом других международных рейтинговых агентств не превышает долю ценных бумаг с кредитным рейтингом ВВ (Standard&amp;Poor's)/Ва2 (Moody’s) или аналогичным кредитным рейтингом других международных рейтинговых агентств в эталонном портфеле корпоративных облигаций более чем на 1 (один) процент.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значение кредитного рейтинга по ценной бумаге снижается ниже минимального кредитного рейтинга, Национальный Банк осуществляет мероприятия по ликвидации позиции по данной ценной бумаге с учетом текущей конъюнктуры рынка, но не более 1 (одного) месяца со дня снижения значения минимального кредитного рейтинга по ценной бумаге.";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"52. Эталонным портфелем для портфеля акций является индекс, состоящий из ценных бумаг, входящих в широкий индекс глобального рынка акций (MSCI World Index). 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Эталонный портфель для портфеля акций в пассивном управлении включает индекс, состоящий из ценных бумаг, входящих в MSCI World ESG Index.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Показателем доходности эталонного портфеля для портфеля акций, рассчитываемой ежедневно, является доходность индекса с учетом реинвестирования дивидендов без учета налогов.";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"56-1. Целевым уровнем доходности портфеля альтернативных инструментов является доходность композитного индекса (референс портфеля), состоящего на 80 (восемьдесят) процентов из индекса MSCI АCWI IMI Net Total Return USD Index и на 20 (двадцать) процентов из индекса Bloomberg Global-Aggregate Total Return Index Value Hedged USD, измеряемых в долларах США.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к эталонному распределению в композитном индексе (референс портфеле), предусмотренном частью первой настоящего пункта осуществляется в последний рабочий день календарного квартала. При этом минимальным уровнем долгосрочной доходности для портфеля альтернативных инструментов является значение US Consumer Price Index (CPI YOY) + 3 (три) процента, который рассчитывается методом скользящей оценки (rolling window) за периоды сроками в 5 (пять), 10 (десять) и 15 (пятнадцать) лет.";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56-3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56-4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56-5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"56-3. Внешнее управление портфелем альтернативных инструментов осуществляет акционерное общество "Национальная инвестиционная корпорация Национального Банка Казахстана" (далее – Корпорация).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56-4. Инвестиции в портфеле альтернативных инструментов осуществляются с учетом ограничений, установленных настоящими Правилами. Секторное распределение портфеля альтернативных инструментов по классам активов осуществляется в соответствии с приложением 10 к настоящим Правилам.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ограничений, установленных в соответствии с приложением 10 к настоящим Правилам, в результате изменения стоимости активов портфеля альтернативных инструментов, вызванного резким изменением рыночных цен, а также пополнением или изъятием активов из портфеля альтернативных инструментов, Корпорация приводит портфель альтернативных инструментов в соответствие с установленными ограничениями в течение 1 (одного) года с момента превышения соответствующих ограничений.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портфеля альтернативных инструментов не превышает 5 (пять) процентов от объема активов сберегательного портфеля на момент перевода активов Фонда в портфель альтернативных инструментов.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56-5. Активы портфеля альтернативных инструментов инвестируются в следующие альтернативные инструменты: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частный капитал;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хедж фонды;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недвижимость;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инфраструктура;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частный долг.";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56-7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"56-7. Для осуществления совместных инвестиций, инвестиций в фонды фондов (fund of funds) и путем прямого инвестирования в фонды допускается инвестирование посредством приобретения акций и (или) долей компаний специального назначения (special purpose vehicle).";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Операции с активами, переданными во внешнее управление, осуществляются с контрпартнерами, минимальный кредитный рейтинг которых соответствует уровню не ниже ВВВ- (Standard&amp;Poor's)/Ваа3 (Moody’s) или аналогичному кредитному рейтингу других международных рейтинговых агентств.";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монетарных операций Национального Банка Республики Казахстан в установленном законодательством Республики Казахстан порядке обеспечить: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мероприятий, предусмотренных подпунктом 2) настоящего пункта.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4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Целевое стратегическое распределение активов сберегательного портфеля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портфеля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формирования портфеля альтернативных инструментов (в процентах)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формирования портфеля альтернативных инструментов (в процентах)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облигации развитых стран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облигации развивающихся стран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облигации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строкам 2 и 3 графы 4 применяется фактически сложившаяся доля альтернативных инструментов на момент перевода или пополнения портфеля альтернативных инструментов при условии, что совместная доля альтернативных инструментов и акций равняется 35 (тридцати пяти) процентам.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Секторное распределение портфеля государственных облигаций развивающихся стран отдельного управляющего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производных финансовых инструментов используется рыночная стоимость лежащих в их основе финансовых инструментов)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(оставшаяся валюта на текущих счетах, финансовые активы, размещенные в фондах денежного рынка с возможностью возврата на следующий рабочий день), государственные ценные бумаги стран и корпоративные ценные бумаги, входящие в эталонный портфель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долговые обязательства стран и корпоративные ценные бумаги, не входящие в эталонный портфель, агентские долговые обязательства стран, входящих в эталонный индекс, долговые обязательства международных финансовых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(вклады)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 (регулируются ограничением по Tracking Error)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ценные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Секторное распределение портфеля альтернативных инструментов по классам активов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процентах) в период 5 лет после первичного пополнения портфеля альтернативных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процентах) по истечении 5 лет после первичного пополнения портфеля альтернативных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капитал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Хедж-фонды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строкам 6 и 7 совокупный объем облигаций и акций не превышает 40 (сорока) процентов в период формирования портфеля альтернативных инструментов, составляющий не более 5 (пяти) лет после первичного пополнения портфеля альтернативных инструментов. По истечении периода формирования портфеля альтернативных инструментов, совокупный объем облигаций и акций не превышает 15 (пятнадцати) процентов.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