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a9a5" w14:textId="cbfa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рынка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22 декабря 2023 года № 93. Зарегистрировано в Министерстве юстиции Республики Казахстан 27 декабря 2023 года № 33815</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рынка ценных бумаг, в которые вносятся изменения и дополнения, согласно приложению к настоящему постановлению. </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22 декабря 2023 года № 93</w:t>
            </w:r>
          </w:p>
        </w:tc>
      </w:tr>
    </w:tbl>
    <w:bookmarkStart w:name="z15"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рынка ценных бумаг,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60 "Об утверждении Правил инвестирования финансовых инструментов и иного имущества, входящего в состав активов инвестиционного фонда, и перечня финансовых инструментов, которые могут входить в состав активов акционерных и паевых инвестиционных фондов" (зарегистрировано в Реестре государственной регистрации нормативных правовых актов под № 7540) следующие изменения: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инвестиционных и венчурных фондах" (далее - Закон)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инвестирования финансовых инструментов и иного имущества, входящего в состав активов инвестиционного фонда,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"Настоящие Правила инвестирования финансовых инструментов и иного имущества, входящего в состав активов инвестиционного фонда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устанавливают порядок инвестирования финансовых инструментов и иного имущества, входящего в состав активов акционерных и паевых инвестиционных фондов.</w:t>
      </w:r>
    </w:p>
    <w:bookmarkEnd w:id="13"/>
    <w:bookmarkStart w:name="z22" w:id="14"/>
    <w:p>
      <w:pPr>
        <w:spacing w:after="0"/>
        <w:ind w:left="0"/>
        <w:jc w:val="both"/>
      </w:pPr>
      <w:r>
        <w:rPr>
          <w:rFonts w:ascii="Times New Roman"/>
          <w:b w:val="false"/>
          <w:i w:val="false"/>
          <w:color w:val="000000"/>
          <w:sz w:val="28"/>
        </w:rPr>
        <w:t>
      1. Для целей Правил используются следующие понятия:</w:t>
      </w:r>
    </w:p>
    <w:bookmarkEnd w:id="14"/>
    <w:bookmarkStart w:name="z23" w:id="15"/>
    <w:p>
      <w:pPr>
        <w:spacing w:after="0"/>
        <w:ind w:left="0"/>
        <w:jc w:val="both"/>
      </w:pPr>
      <w:r>
        <w:rPr>
          <w:rFonts w:ascii="Times New Roman"/>
          <w:b w:val="false"/>
          <w:i w:val="false"/>
          <w:color w:val="000000"/>
          <w:sz w:val="28"/>
        </w:rPr>
        <w:t>
      1) котировка - ценовые предложения контрпартнеров по финансовым инструментам, полученные посредством почтовой, электронной или факсимильной связи;</w:t>
      </w:r>
    </w:p>
    <w:bookmarkEnd w:id="15"/>
    <w:bookmarkStart w:name="z24" w:id="16"/>
    <w:p>
      <w:pPr>
        <w:spacing w:after="0"/>
        <w:ind w:left="0"/>
        <w:jc w:val="both"/>
      </w:pPr>
      <w:r>
        <w:rPr>
          <w:rFonts w:ascii="Times New Roman"/>
          <w:b w:val="false"/>
          <w:i w:val="false"/>
          <w:color w:val="000000"/>
          <w:sz w:val="28"/>
        </w:rPr>
        <w:t>
      2) управляющая компания - профессиональный участник рынка ценных бумаг, осуществляющий деятельность по управлению инвестиционным портфелем на основании лицензии, выданной уполномоченным органом по регулированию, контролю и надзору финансового рынка и финансовых организаций (далее - уполномоченный орган);</w:t>
      </w:r>
    </w:p>
    <w:bookmarkEnd w:id="16"/>
    <w:bookmarkStart w:name="z25" w:id="17"/>
    <w:p>
      <w:pPr>
        <w:spacing w:after="0"/>
        <w:ind w:left="0"/>
        <w:jc w:val="both"/>
      </w:pPr>
      <w:r>
        <w:rPr>
          <w:rFonts w:ascii="Times New Roman"/>
          <w:b w:val="false"/>
          <w:i w:val="false"/>
          <w:color w:val="000000"/>
          <w:sz w:val="28"/>
        </w:rPr>
        <w:t>
      3) биржевой паевой инвестиционный фонд (Exchange Traded Fund) (ETF) (Эксчейндж Трэйдэд Фандс) - интервальный паевой инвестиционный фонд индексного инвестирования, паи которого обращаются на фондовой бирже;</w:t>
      </w:r>
    </w:p>
    <w:bookmarkEnd w:id="17"/>
    <w:bookmarkStart w:name="z26" w:id="18"/>
    <w:p>
      <w:pPr>
        <w:spacing w:after="0"/>
        <w:ind w:left="0"/>
        <w:jc w:val="both"/>
      </w:pPr>
      <w:r>
        <w:rPr>
          <w:rFonts w:ascii="Times New Roman"/>
          <w:b w:val="false"/>
          <w:i w:val="false"/>
          <w:color w:val="000000"/>
          <w:sz w:val="28"/>
        </w:rPr>
        <w:t xml:space="preserve">
      4) инвестиционный фонд – акционерный или паевой инвестиционный фонд, созданный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8"/>
    <w:bookmarkStart w:name="z27" w:id="19"/>
    <w:p>
      <w:pPr>
        <w:spacing w:after="0"/>
        <w:ind w:left="0"/>
        <w:jc w:val="both"/>
      </w:pPr>
      <w:r>
        <w:rPr>
          <w:rFonts w:ascii="Times New Roman"/>
          <w:b w:val="false"/>
          <w:i w:val="false"/>
          <w:color w:val="000000"/>
          <w:sz w:val="28"/>
        </w:rPr>
        <w:t>
      5) контрпартнер - юридическое лицо, обладающее правом заключать сделки с финансовыми инструментами в соответствии с законодательством Республики Казахстан или иностранного государства;</w:t>
      </w:r>
    </w:p>
    <w:bookmarkEnd w:id="19"/>
    <w:bookmarkStart w:name="z28" w:id="20"/>
    <w:p>
      <w:pPr>
        <w:spacing w:after="0"/>
        <w:ind w:left="0"/>
        <w:jc w:val="both"/>
      </w:pPr>
      <w:r>
        <w:rPr>
          <w:rFonts w:ascii="Times New Roman"/>
          <w:b w:val="false"/>
          <w:i w:val="false"/>
          <w:color w:val="000000"/>
          <w:sz w:val="28"/>
        </w:rPr>
        <w:t>
      6) международная финансовая организация – организация, имеющая международный статус, созданная и действующая на основании международного договора (соглашения) либо устава;</w:t>
      </w:r>
    </w:p>
    <w:bookmarkEnd w:id="20"/>
    <w:bookmarkStart w:name="z29" w:id="21"/>
    <w:p>
      <w:pPr>
        <w:spacing w:after="0"/>
        <w:ind w:left="0"/>
        <w:jc w:val="both"/>
      </w:pPr>
      <w:r>
        <w:rPr>
          <w:rFonts w:ascii="Times New Roman"/>
          <w:b w:val="false"/>
          <w:i w:val="false"/>
          <w:color w:val="000000"/>
          <w:sz w:val="28"/>
        </w:rPr>
        <w:t>
      7) пай Exchange Traded Funds (ETF) (Эксчейндж Трэйдэд Фандс) – гибридный торговый инструмент, ценообразование по которому привязано к тому или иному классу активов (акции, облигации, товарные продукты) либо индексам;</w:t>
      </w:r>
    </w:p>
    <w:bookmarkEnd w:id="21"/>
    <w:bookmarkStart w:name="z30" w:id="22"/>
    <w:p>
      <w:pPr>
        <w:spacing w:after="0"/>
        <w:ind w:left="0"/>
        <w:jc w:val="both"/>
      </w:pPr>
      <w:r>
        <w:rPr>
          <w:rFonts w:ascii="Times New Roman"/>
          <w:b w:val="false"/>
          <w:i w:val="false"/>
          <w:color w:val="000000"/>
          <w:sz w:val="28"/>
        </w:rPr>
        <w:t>
      8) principal protected notes (принципл протектед ноутс) – долговые ценные бумаги, по которым установлена гарантия эмитента по полному возврату суммы основного долга.";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2" w:id="23"/>
    <w:p>
      <w:pPr>
        <w:spacing w:after="0"/>
        <w:ind w:left="0"/>
        <w:jc w:val="both"/>
      </w:pPr>
      <w:r>
        <w:rPr>
          <w:rFonts w:ascii="Times New Roman"/>
          <w:b w:val="false"/>
          <w:i w:val="false"/>
          <w:color w:val="000000"/>
          <w:sz w:val="28"/>
        </w:rPr>
        <w:t xml:space="preserve">
      "4. При заключении сделок с финансовыми инструментами управляющая компания руководствуется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(зарегистрированным в Реестре государственной регистрации нормативных правовых актов под № 9249.)";</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финансовых инструментов, которые могут входить в состав активов акционерных и паевых инвестиционных фондов, утвержденный указанным постановлением,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рынка ценных бумаг, в которые вносятся изменения и дополнения (далее – Перечень).</w:t>
      </w:r>
    </w:p>
    <w:bookmarkStart w:name="z34" w:id="2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88 "Об утверждении Правил исполнения представителем держателей облигаций своих функций и обязанностей, досрочного прекращения его полномочий, требований к содержанию договора о представлении интересов держателей облигаций, заключаемого между эмитентом и представителем держателей облигаций, и сроков предоставления информации в уполномоченный орган по регулированию, контролю и надзору финансового рынка и финансовых организаций, Правил передачи банкротным управляющим выделенных активов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(зарегистрировано в Реестре государственной регистрации нормативных правовых актов под № 7568) следующие изменения: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6" w:id="2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5"/>
    <w:bookmarkStart w:name="z37"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представителем держателей облигаций своих функций и обязанностей, досрочного прекращения его полномочий, требований к содержанию договора о представлении интересов держателей облигаций, заключаемого между эмитентом и представителем держателей облигаций, и сроков предоставления информации в уполномоченный орган по регулированию, контролю и надзору финансового рынка и финансовых организаций, утвержденных указанным постановлением: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9" w:id="27"/>
    <w:p>
      <w:pPr>
        <w:spacing w:after="0"/>
        <w:ind w:left="0"/>
        <w:jc w:val="both"/>
      </w:pPr>
      <w:r>
        <w:rPr>
          <w:rFonts w:ascii="Times New Roman"/>
          <w:b w:val="false"/>
          <w:i w:val="false"/>
          <w:color w:val="000000"/>
          <w:sz w:val="28"/>
        </w:rPr>
        <w:t>
      "5. Контроль за состоянием залогового имущества и финансовым состоянием гаранта осуществляется представителем посредством:</w:t>
      </w:r>
    </w:p>
    <w:bookmarkEnd w:id="27"/>
    <w:bookmarkStart w:name="z40" w:id="28"/>
    <w:p>
      <w:pPr>
        <w:spacing w:after="0"/>
        <w:ind w:left="0"/>
        <w:jc w:val="both"/>
      </w:pPr>
      <w:r>
        <w:rPr>
          <w:rFonts w:ascii="Times New Roman"/>
          <w:b w:val="false"/>
          <w:i w:val="false"/>
          <w:color w:val="000000"/>
          <w:sz w:val="28"/>
        </w:rPr>
        <w:t>
      1) ознакомления с оригиналами документов, подтверждающих права эмитента на залоговое имущество;</w:t>
      </w:r>
    </w:p>
    <w:bookmarkEnd w:id="28"/>
    <w:bookmarkStart w:name="z41" w:id="29"/>
    <w:p>
      <w:pPr>
        <w:spacing w:after="0"/>
        <w:ind w:left="0"/>
        <w:jc w:val="both"/>
      </w:pPr>
      <w:r>
        <w:rPr>
          <w:rFonts w:ascii="Times New Roman"/>
          <w:b w:val="false"/>
          <w:i w:val="false"/>
          <w:color w:val="000000"/>
          <w:sz w:val="28"/>
        </w:rPr>
        <w:t>
      2) получения информации от эмитента о состоянии залогового имущества с представлением оценки независимого оценщика и от гаранта по обеспеченным облигациям о его финансовом состоянии на любую дату по требованию представителя;</w:t>
      </w:r>
    </w:p>
    <w:bookmarkEnd w:id="29"/>
    <w:bookmarkStart w:name="z42" w:id="30"/>
    <w:p>
      <w:pPr>
        <w:spacing w:after="0"/>
        <w:ind w:left="0"/>
        <w:jc w:val="both"/>
      </w:pPr>
      <w:r>
        <w:rPr>
          <w:rFonts w:ascii="Times New Roman"/>
          <w:b w:val="false"/>
          <w:i w:val="false"/>
          <w:color w:val="000000"/>
          <w:sz w:val="28"/>
        </w:rPr>
        <w:t>
      3) получения от эмитента, гаранта по обеспеченным облигациям копии его финансовой отчетности по итогам квартала и на любую дату по требованию представителя;</w:t>
      </w:r>
    </w:p>
    <w:bookmarkEnd w:id="30"/>
    <w:bookmarkStart w:name="z43" w:id="31"/>
    <w:p>
      <w:pPr>
        <w:spacing w:after="0"/>
        <w:ind w:left="0"/>
        <w:jc w:val="both"/>
      </w:pPr>
      <w:r>
        <w:rPr>
          <w:rFonts w:ascii="Times New Roman"/>
          <w:b w:val="false"/>
          <w:i w:val="false"/>
          <w:color w:val="000000"/>
          <w:sz w:val="28"/>
        </w:rPr>
        <w:t>
      4) проведения ежегодного анализа финансового состояния эмитента, действующего в организационно-правовой форме акционерного общества, гаранта по обеспеченным облигациям на основе его аудированной финансовой отчетности;</w:t>
      </w:r>
    </w:p>
    <w:bookmarkEnd w:id="31"/>
    <w:bookmarkStart w:name="z44" w:id="32"/>
    <w:p>
      <w:pPr>
        <w:spacing w:after="0"/>
        <w:ind w:left="0"/>
        <w:jc w:val="both"/>
      </w:pPr>
      <w:r>
        <w:rPr>
          <w:rFonts w:ascii="Times New Roman"/>
          <w:b w:val="false"/>
          <w:i w:val="false"/>
          <w:color w:val="000000"/>
          <w:sz w:val="28"/>
        </w:rPr>
        <w:t>
      5) проведения ежегодного анализа финансового состояния эмитента, действующего в организационно-правовой форме товарищества на основе его финансовой отчетности (аудированной финансовой отчетности - при наличии);</w:t>
      </w:r>
    </w:p>
    <w:bookmarkEnd w:id="32"/>
    <w:bookmarkStart w:name="z45" w:id="33"/>
    <w:p>
      <w:pPr>
        <w:spacing w:after="0"/>
        <w:ind w:left="0"/>
        <w:jc w:val="both"/>
      </w:pPr>
      <w:r>
        <w:rPr>
          <w:rFonts w:ascii="Times New Roman"/>
          <w:b w:val="false"/>
          <w:i w:val="false"/>
          <w:color w:val="000000"/>
          <w:sz w:val="28"/>
        </w:rPr>
        <w:t>
      6) осуществления мониторинга финансового состояния эмитента и анализ его корпоративных событий.".</w:t>
      </w:r>
    </w:p>
    <w:bookmarkEnd w:id="33"/>
    <w:bookmarkStart w:name="z46" w:id="34"/>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(зарегистрировано в Реестре государственной регистрации нормативных правовых актов под № 9248) следующие изменения и дополнение: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8" w:id="3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5"/>
    <w:bookmarkStart w:name="z49"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управлению инвестиционным портфелем, утвержденных указанным постановлением: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1" w:id="37"/>
    <w:p>
      <w:pPr>
        <w:spacing w:after="0"/>
        <w:ind w:left="0"/>
        <w:jc w:val="both"/>
      </w:pPr>
      <w:r>
        <w:rPr>
          <w:rFonts w:ascii="Times New Roman"/>
          <w:b w:val="false"/>
          <w:i w:val="false"/>
          <w:color w:val="000000"/>
          <w:sz w:val="28"/>
        </w:rPr>
        <w:t>
      "1. В Правилах используются следующие понятия:</w:t>
      </w:r>
    </w:p>
    <w:bookmarkEnd w:id="37"/>
    <w:bookmarkStart w:name="z52" w:id="38"/>
    <w:p>
      <w:pPr>
        <w:spacing w:after="0"/>
        <w:ind w:left="0"/>
        <w:jc w:val="both"/>
      </w:pPr>
      <w:r>
        <w:rPr>
          <w:rFonts w:ascii="Times New Roman"/>
          <w:b w:val="false"/>
          <w:i w:val="false"/>
          <w:color w:val="000000"/>
          <w:sz w:val="28"/>
        </w:rPr>
        <w:t xml:space="preserve">
      1) специальная финансовая компания - юридическое лицо, создаваемое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секьюритизации для осуществления сделок проектного финансирования и секьюритизации, в пользу которой уступаются права требования;</w:t>
      </w:r>
    </w:p>
    <w:bookmarkEnd w:id="38"/>
    <w:bookmarkStart w:name="z53" w:id="39"/>
    <w:p>
      <w:pPr>
        <w:spacing w:after="0"/>
        <w:ind w:left="0"/>
        <w:jc w:val="both"/>
      </w:pPr>
      <w:r>
        <w:rPr>
          <w:rFonts w:ascii="Times New Roman"/>
          <w:b w:val="false"/>
          <w:i w:val="false"/>
          <w:color w:val="000000"/>
          <w:sz w:val="28"/>
        </w:rPr>
        <w:t>
      2) биржевой паевой инвестиционный фонд (Exchange Traded Fund) (ETF) (Эксчейндж Трэйдэд Фандс) - интервальный паевой инвестиционный фонд индексного инвестирования, паи которого обращаются на фондовой бирже;</w:t>
      </w:r>
    </w:p>
    <w:bookmarkEnd w:id="39"/>
    <w:bookmarkStart w:name="z54" w:id="40"/>
    <w:p>
      <w:pPr>
        <w:spacing w:after="0"/>
        <w:ind w:left="0"/>
        <w:jc w:val="both"/>
      </w:pPr>
      <w:r>
        <w:rPr>
          <w:rFonts w:ascii="Times New Roman"/>
          <w:b w:val="false"/>
          <w:i w:val="false"/>
          <w:color w:val="000000"/>
          <w:sz w:val="28"/>
        </w:rPr>
        <w:t>
      3) единый накопительный пенсионный фонд – юридическое лицо, осуществляющее деятельность по привлечению пенсионных взносов и пенсионным выплатам;</w:t>
      </w:r>
    </w:p>
    <w:bookmarkEnd w:id="40"/>
    <w:bookmarkStart w:name="z55" w:id="41"/>
    <w:p>
      <w:pPr>
        <w:spacing w:after="0"/>
        <w:ind w:left="0"/>
        <w:jc w:val="both"/>
      </w:pPr>
      <w:r>
        <w:rPr>
          <w:rFonts w:ascii="Times New Roman"/>
          <w:b w:val="false"/>
          <w:i w:val="false"/>
          <w:color w:val="000000"/>
          <w:sz w:val="28"/>
        </w:rPr>
        <w:t>
      4)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активов инвестиционного фонда, условия хеджирования и диверсификации активов;</w:t>
      </w:r>
    </w:p>
    <w:bookmarkEnd w:id="41"/>
    <w:bookmarkStart w:name="z56" w:id="42"/>
    <w:p>
      <w:pPr>
        <w:spacing w:after="0"/>
        <w:ind w:left="0"/>
        <w:jc w:val="both"/>
      </w:pPr>
      <w:r>
        <w:rPr>
          <w:rFonts w:ascii="Times New Roman"/>
          <w:b w:val="false"/>
          <w:i w:val="false"/>
          <w:color w:val="000000"/>
          <w:sz w:val="28"/>
        </w:rPr>
        <w:t>
      5) инвестиционный портфель - находящаяся в собственности или управлении управляющего инвестиционным портфелем совокупность различных видов финансовых инструментов либо иного имущества;</w:t>
      </w:r>
    </w:p>
    <w:bookmarkEnd w:id="42"/>
    <w:bookmarkStart w:name="z57" w:id="43"/>
    <w:p>
      <w:pPr>
        <w:spacing w:after="0"/>
        <w:ind w:left="0"/>
        <w:jc w:val="both"/>
      </w:pPr>
      <w:r>
        <w:rPr>
          <w:rFonts w:ascii="Times New Roman"/>
          <w:b w:val="false"/>
          <w:i w:val="false"/>
          <w:color w:val="000000"/>
          <w:sz w:val="28"/>
        </w:rPr>
        <w:t>
      6) управляющий инвестиционным портфелем - профессиональный участник рынка ценных бумаг, осуществляющий от своего имени в интересах и за счет клиента деятельность по управлению объектами гражданских прав;</w:t>
      </w:r>
    </w:p>
    <w:bookmarkEnd w:id="43"/>
    <w:bookmarkStart w:name="z58" w:id="44"/>
    <w:p>
      <w:pPr>
        <w:spacing w:after="0"/>
        <w:ind w:left="0"/>
        <w:jc w:val="both"/>
      </w:pPr>
      <w:r>
        <w:rPr>
          <w:rFonts w:ascii="Times New Roman"/>
          <w:b w:val="false"/>
          <w:i w:val="false"/>
          <w:color w:val="000000"/>
          <w:sz w:val="28"/>
        </w:rPr>
        <w:t>
      7) договор по управлению инвестиционным портфелем - договор, в соответствии с которым клиент передает управляющему инвестиционным портфелем имущество в инвестиционное управление, а управляющий инвестиционным портфелем обязуется осуществлять управление этим имуществом в интересах клиента;</w:t>
      </w:r>
    </w:p>
    <w:bookmarkEnd w:id="44"/>
    <w:bookmarkStart w:name="z59" w:id="45"/>
    <w:p>
      <w:pPr>
        <w:spacing w:after="0"/>
        <w:ind w:left="0"/>
        <w:jc w:val="both"/>
      </w:pPr>
      <w:r>
        <w:rPr>
          <w:rFonts w:ascii="Times New Roman"/>
          <w:b w:val="false"/>
          <w:i w:val="false"/>
          <w:color w:val="000000"/>
          <w:sz w:val="28"/>
        </w:rPr>
        <w:t>
      8) система учета управляющего инвестиционным портфелем - совокупность сведений, содержащихся на инвестиционных счетах клиентов управляющего инвестиционным портфелем, которые обеспечивают идентификацию клиента и его активов, структуру инвестиционного портфеля и сделок с активами клиента на определенный момент времени;</w:t>
      </w:r>
    </w:p>
    <w:bookmarkEnd w:id="45"/>
    <w:bookmarkStart w:name="z60" w:id="46"/>
    <w:p>
      <w:pPr>
        <w:spacing w:after="0"/>
        <w:ind w:left="0"/>
        <w:jc w:val="both"/>
      </w:pPr>
      <w:r>
        <w:rPr>
          <w:rFonts w:ascii="Times New Roman"/>
          <w:b w:val="false"/>
          <w:i w:val="false"/>
          <w:color w:val="000000"/>
          <w:sz w:val="28"/>
        </w:rPr>
        <w:t>
      9) инвестиционное решение - решение о совершении сделки с активами инвестиционного фонда, принимаемое в процессе управления его активами;</w:t>
      </w:r>
    </w:p>
    <w:bookmarkEnd w:id="46"/>
    <w:bookmarkStart w:name="z61" w:id="47"/>
    <w:p>
      <w:pPr>
        <w:spacing w:after="0"/>
        <w:ind w:left="0"/>
        <w:jc w:val="both"/>
      </w:pPr>
      <w:r>
        <w:rPr>
          <w:rFonts w:ascii="Times New Roman"/>
          <w:b w:val="false"/>
          <w:i w:val="false"/>
          <w:color w:val="000000"/>
          <w:sz w:val="28"/>
        </w:rPr>
        <w:t>
      10) клиент – лицо, пользующееся или намеренное воспользоваться услугами управляющего инвестиционным портфелем, инвестиционный фонд, инвестиционный портфель, сформированный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активы которых находятся в управлении у управляющего инвестиционным портфелем, а также единый накопительный пенсионный фонд в отношении пенсионных активов, которые находятся в доверительном управлении у управляющего инвестиционным портфелем;</w:t>
      </w:r>
    </w:p>
    <w:bookmarkEnd w:id="47"/>
    <w:bookmarkStart w:name="z62" w:id="48"/>
    <w:p>
      <w:pPr>
        <w:spacing w:after="0"/>
        <w:ind w:left="0"/>
        <w:jc w:val="both"/>
      </w:pPr>
      <w:r>
        <w:rPr>
          <w:rFonts w:ascii="Times New Roman"/>
          <w:b w:val="false"/>
          <w:i w:val="false"/>
          <w:color w:val="000000"/>
          <w:sz w:val="28"/>
        </w:rPr>
        <w:t>
      11) активы клиента - совокупность активов, находящихся в управлении у управляющего инвестиционным портфелем;</w:t>
      </w:r>
    </w:p>
    <w:bookmarkEnd w:id="48"/>
    <w:bookmarkStart w:name="z63" w:id="49"/>
    <w:p>
      <w:pPr>
        <w:spacing w:after="0"/>
        <w:ind w:left="0"/>
        <w:jc w:val="both"/>
      </w:pPr>
      <w:r>
        <w:rPr>
          <w:rFonts w:ascii="Times New Roman"/>
          <w:b w:val="false"/>
          <w:i w:val="false"/>
          <w:color w:val="000000"/>
          <w:sz w:val="28"/>
        </w:rPr>
        <w:t>
      12) структурный продукт - финансовый инструмент, условия выпуска которого предусматривают зависимость выплат сумм основного долга и (или) вознаграждения по данному финансовому инструменту от достижения показателей и (или) наступления событий, заданных в условиях его выпуска;</w:t>
      </w:r>
    </w:p>
    <w:bookmarkEnd w:id="49"/>
    <w:bookmarkStart w:name="z64" w:id="50"/>
    <w:p>
      <w:pPr>
        <w:spacing w:after="0"/>
        <w:ind w:left="0"/>
        <w:jc w:val="both"/>
      </w:pPr>
      <w:r>
        <w:rPr>
          <w:rFonts w:ascii="Times New Roman"/>
          <w:b w:val="false"/>
          <w:i w:val="false"/>
          <w:color w:val="000000"/>
          <w:sz w:val="28"/>
        </w:rPr>
        <w:t>
      13) маркет-мейкер - организация, предоставляющая услуги по объявлению и поддержанию котировок по финансовому инструменту в соответствии с внутренними документами фондовой биржи;</w:t>
      </w:r>
    </w:p>
    <w:bookmarkEnd w:id="50"/>
    <w:bookmarkStart w:name="z65" w:id="51"/>
    <w:p>
      <w:pPr>
        <w:spacing w:after="0"/>
        <w:ind w:left="0"/>
        <w:jc w:val="both"/>
      </w:pPr>
      <w:r>
        <w:rPr>
          <w:rFonts w:ascii="Times New Roman"/>
          <w:b w:val="false"/>
          <w:i w:val="false"/>
          <w:color w:val="000000"/>
          <w:sz w:val="28"/>
        </w:rPr>
        <w:t>
      14) конфликт интересов - ситуация, при которой интересы управляющего инвестиционным портфелем и его клиента (клиентов) не совпадают между собой;</w:t>
      </w:r>
    </w:p>
    <w:bookmarkEnd w:id="51"/>
    <w:bookmarkStart w:name="z66" w:id="52"/>
    <w:p>
      <w:pPr>
        <w:spacing w:after="0"/>
        <w:ind w:left="0"/>
        <w:jc w:val="both"/>
      </w:pPr>
      <w:r>
        <w:rPr>
          <w:rFonts w:ascii="Times New Roman"/>
          <w:b w:val="false"/>
          <w:i w:val="false"/>
          <w:color w:val="000000"/>
          <w:sz w:val="28"/>
        </w:rPr>
        <w:t>
      15) уполномоченный орган - государственный орган, осуществляющий регулирование, контроль и надзор финансового рынка и финансовых организаций;</w:t>
      </w:r>
    </w:p>
    <w:bookmarkEnd w:id="52"/>
    <w:bookmarkStart w:name="z67" w:id="53"/>
    <w:p>
      <w:pPr>
        <w:spacing w:after="0"/>
        <w:ind w:left="0"/>
        <w:jc w:val="both"/>
      </w:pPr>
      <w:r>
        <w:rPr>
          <w:rFonts w:ascii="Times New Roman"/>
          <w:b w:val="false"/>
          <w:i w:val="false"/>
          <w:color w:val="000000"/>
          <w:sz w:val="28"/>
        </w:rPr>
        <w:t xml:space="preserve">
      16)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перечень которых устанавливается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p>
    <w:bookmarkEnd w:id="53"/>
    <w:bookmarkStart w:name="z68" w:id="54"/>
    <w:p>
      <w:pPr>
        <w:spacing w:after="0"/>
        <w:ind w:left="0"/>
        <w:jc w:val="both"/>
      </w:pPr>
      <w:r>
        <w:rPr>
          <w:rFonts w:ascii="Times New Roman"/>
          <w:b w:val="false"/>
          <w:i w:val="false"/>
          <w:color w:val="000000"/>
          <w:sz w:val="28"/>
        </w:rPr>
        <w:t>
      17) хеджирование – операции с производными финансовыми инструментами, совершаемые в целях компенсации возможных убытков, возникающих в результате неблагоприятного изменения цены или иного показателя объекта хеджирования. Под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bookmarkEnd w:id="54"/>
    <w:bookmarkStart w:name="z69" w:id="55"/>
    <w:p>
      <w:pPr>
        <w:spacing w:after="0"/>
        <w:ind w:left="0"/>
        <w:jc w:val="both"/>
      </w:pPr>
      <w:r>
        <w:rPr>
          <w:rFonts w:ascii="Times New Roman"/>
          <w:b w:val="false"/>
          <w:i w:val="false"/>
          <w:color w:val="000000"/>
          <w:sz w:val="28"/>
        </w:rPr>
        <w:t>
      18) внутренние документы - документы, которые регулируют условия и порядок деятельности управляющего инвестиционным портфелем, его органов, структурных подразделений (филиалов, представительств), работников, оказание услуг и порядок их оплаты.";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71" w:id="56"/>
    <w:p>
      <w:pPr>
        <w:spacing w:after="0"/>
        <w:ind w:left="0"/>
        <w:jc w:val="both"/>
      </w:pPr>
      <w:r>
        <w:rPr>
          <w:rFonts w:ascii="Times New Roman"/>
          <w:b w:val="false"/>
          <w:i w:val="false"/>
          <w:color w:val="000000"/>
          <w:sz w:val="28"/>
        </w:rPr>
        <w:t xml:space="preserve">
      "22. Распространение управляющим инвестиционным портфелем рекламной информации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рекламе" и </w:t>
      </w:r>
      <w:r>
        <w:rPr>
          <w:rFonts w:ascii="Times New Roman"/>
          <w:b w:val="false"/>
          <w:i w:val="false"/>
          <w:color w:val="000000"/>
          <w:sz w:val="28"/>
        </w:rPr>
        <w:t>Закона</w:t>
      </w:r>
      <w:r>
        <w:rPr>
          <w:rFonts w:ascii="Times New Roman"/>
          <w:b w:val="false"/>
          <w:i w:val="false"/>
          <w:color w:val="000000"/>
          <w:sz w:val="28"/>
        </w:rPr>
        <w:t xml:space="preserve"> об инвестиционных фондах.</w:t>
      </w:r>
    </w:p>
    <w:bookmarkEnd w:id="56"/>
    <w:bookmarkStart w:name="z72" w:id="57"/>
    <w:p>
      <w:pPr>
        <w:spacing w:after="0"/>
        <w:ind w:left="0"/>
        <w:jc w:val="both"/>
      </w:pPr>
      <w:r>
        <w:rPr>
          <w:rFonts w:ascii="Times New Roman"/>
          <w:b w:val="false"/>
          <w:i w:val="false"/>
          <w:color w:val="000000"/>
          <w:sz w:val="28"/>
        </w:rPr>
        <w:t>
      Не допускается публикация в средствах массовой информации или распространение иным образом управляющим инвестиционным портфелем недостоверных или вводящих в заблуждение сведений о параметрах (ценах, объемах и других возможных параметрах) сделок с финансовыми инструментами, о показателях доходности при инвестировании активов клиентов и других показателях, характеризующих деятельность управляющего инвестиционным портфелем.</w:t>
      </w:r>
    </w:p>
    <w:bookmarkEnd w:id="57"/>
    <w:bookmarkStart w:name="z73" w:id="58"/>
    <w:p>
      <w:pPr>
        <w:spacing w:after="0"/>
        <w:ind w:left="0"/>
        <w:jc w:val="both"/>
      </w:pPr>
      <w:r>
        <w:rPr>
          <w:rFonts w:ascii="Times New Roman"/>
          <w:b w:val="false"/>
          <w:i w:val="false"/>
          <w:color w:val="000000"/>
          <w:sz w:val="28"/>
        </w:rPr>
        <w:t>
      При публикации в средствах массовой информации или иным образом информации о своей деятельности управляющий инвестиционным портфелем указывает свое полное наименование, а также дату выдачи и номер лицензии на осуществление деятельности по управлению инвестиционным портфелем.";</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75" w:id="59"/>
    <w:p>
      <w:pPr>
        <w:spacing w:after="0"/>
        <w:ind w:left="0"/>
        <w:jc w:val="both"/>
      </w:pPr>
      <w:r>
        <w:rPr>
          <w:rFonts w:ascii="Times New Roman"/>
          <w:b w:val="false"/>
          <w:i w:val="false"/>
          <w:color w:val="000000"/>
          <w:sz w:val="28"/>
        </w:rPr>
        <w:t>
      "35. Приказы по размещению и выкупу паев паевого инвестиционного фонда подписываются руководителем подразделения кастодиана, обеспечивающего учет активов инвестиционного фонда, и подтверждаются кастодианом путем направления им центральному депозитарию (номинальному держателю) своего письменного подтверждения приказа управляющего инвестиционным портфелем.</w:t>
      </w:r>
    </w:p>
    <w:bookmarkEnd w:id="59"/>
    <w:bookmarkStart w:name="z76" w:id="60"/>
    <w:p>
      <w:pPr>
        <w:spacing w:after="0"/>
        <w:ind w:left="0"/>
        <w:jc w:val="both"/>
      </w:pPr>
      <w:r>
        <w:rPr>
          <w:rFonts w:ascii="Times New Roman"/>
          <w:b w:val="false"/>
          <w:i w:val="false"/>
          <w:color w:val="000000"/>
          <w:sz w:val="28"/>
        </w:rPr>
        <w:t>
      Допускается использование средств факсимильной связи в процессе размещения и выкупа паев паевого инвестиционного фонда, если это предусмотрено условиями договоров по кастодиальному обслуживанию и ведению системы реестров держателей ценных бумаг, с обязательным предоставлением оригиналов документов на бумажном носителе, подтверждающих согласие кастодиана на заключение сделки по списанию (зачислению) паев, в срок не позднее трех рабочих дней с момента регистрации сделки в реестре держателей паев паевого инвестиционного фонда.</w:t>
      </w:r>
    </w:p>
    <w:bookmarkEnd w:id="60"/>
    <w:bookmarkStart w:name="z77" w:id="61"/>
    <w:p>
      <w:pPr>
        <w:spacing w:after="0"/>
        <w:ind w:left="0"/>
        <w:jc w:val="both"/>
      </w:pPr>
      <w:r>
        <w:rPr>
          <w:rFonts w:ascii="Times New Roman"/>
          <w:b w:val="false"/>
          <w:i w:val="false"/>
          <w:color w:val="000000"/>
          <w:sz w:val="28"/>
        </w:rPr>
        <w:t xml:space="preserve">
      Допускается составление и передача приказа по размещению и выкупу паев паевого инвестиционного фонда в электронном виде с использованием системы электронного документооборота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если это предусмотрено кастодиальным договором и договором по ведению системы реестров держателей ценных бумаг.";</w:t>
      </w:r>
    </w:p>
    <w:bookmarkEnd w:id="61"/>
    <w:bookmarkStart w:name="z78" w:id="62"/>
    <w:p>
      <w:pPr>
        <w:spacing w:after="0"/>
        <w:ind w:left="0"/>
        <w:jc w:val="both"/>
      </w:pPr>
      <w:r>
        <w:rPr>
          <w:rFonts w:ascii="Times New Roman"/>
          <w:b w:val="false"/>
          <w:i w:val="false"/>
          <w:color w:val="000000"/>
          <w:sz w:val="28"/>
        </w:rPr>
        <w:t>
      дополнить пунктом 35-1 следующего содержания:</w:t>
      </w:r>
    </w:p>
    <w:bookmarkEnd w:id="62"/>
    <w:bookmarkStart w:name="z79" w:id="63"/>
    <w:p>
      <w:pPr>
        <w:spacing w:after="0"/>
        <w:ind w:left="0"/>
        <w:jc w:val="both"/>
      </w:pPr>
      <w:r>
        <w:rPr>
          <w:rFonts w:ascii="Times New Roman"/>
          <w:b w:val="false"/>
          <w:i w:val="false"/>
          <w:color w:val="000000"/>
          <w:sz w:val="28"/>
        </w:rPr>
        <w:t>
      "35-1. Управляющий инвестиционным портфелем для целей формирования ежедневного спроса и предложения на паи биржевых паевых инвестиционных фондов (Exchange Traded Fund) (ETF) (Эксчейндж Трэйдэд Фандс) обеспечивает наличие маркет-мейкера по каждому биржевому паевому инвестиционному фонду (Exchange Traded Fund) (ETF) (Эксчейндж Трэйдэд Фандс).";</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40-1</w:t>
      </w:r>
      <w:r>
        <w:rPr>
          <w:rFonts w:ascii="Times New Roman"/>
          <w:b w:val="false"/>
          <w:i w:val="false"/>
          <w:color w:val="000000"/>
          <w:sz w:val="28"/>
        </w:rPr>
        <w:t xml:space="preserve"> изложить в следующей редакции:</w:t>
      </w:r>
    </w:p>
    <w:bookmarkStart w:name="z81" w:id="64"/>
    <w:p>
      <w:pPr>
        <w:spacing w:after="0"/>
        <w:ind w:left="0"/>
        <w:jc w:val="both"/>
      </w:pPr>
      <w:r>
        <w:rPr>
          <w:rFonts w:ascii="Times New Roman"/>
          <w:b w:val="false"/>
          <w:i w:val="false"/>
          <w:color w:val="000000"/>
          <w:sz w:val="28"/>
        </w:rPr>
        <w:t xml:space="preserve">
      "40-1. Порядок учета пенсионных активов и оценки финансовых инструментов, в которые управляющий инвестиционным портфелем инвестирует пенсионные активы,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учета и оценки пенсионных активов, утвержденными постановлением Правления Агентства Республики Казахстан по регулированию и развитию финансового рынка от 26 июня 2023 года № 58, зарегистрированным в Реестре государственной регистрации нормативных правовых актов под № 32997.".</w:t>
      </w:r>
    </w:p>
    <w:bookmarkEnd w:id="64"/>
    <w:bookmarkStart w:name="z82" w:id="6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248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(зарегистрировано в Реестре государственной регистрации нормативных правовых актов под № 17884) следующие изменения:</w:t>
      </w:r>
    </w:p>
    <w:bookmarkEnd w:id="65"/>
    <w:bookmarkStart w:name="z83"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 утвержденных указанным постановлением:</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5" w:id="67"/>
    <w:p>
      <w:pPr>
        <w:spacing w:after="0"/>
        <w:ind w:left="0"/>
        <w:jc w:val="both"/>
      </w:pPr>
      <w:r>
        <w:rPr>
          <w:rFonts w:ascii="Times New Roman"/>
          <w:b w:val="false"/>
          <w:i w:val="false"/>
          <w:color w:val="000000"/>
          <w:sz w:val="28"/>
        </w:rPr>
        <w:t>
      "11. В случае если вновь выпускаемые облигации являются ипотечными облигациями, такие облигации обеспечиваются следующими высоколиквидными активами:</w:t>
      </w:r>
    </w:p>
    <w:bookmarkEnd w:id="67"/>
    <w:bookmarkStart w:name="z86" w:id="68"/>
    <w:p>
      <w:pPr>
        <w:spacing w:after="0"/>
        <w:ind w:left="0"/>
        <w:jc w:val="both"/>
      </w:pPr>
      <w:r>
        <w:rPr>
          <w:rFonts w:ascii="Times New Roman"/>
          <w:b w:val="false"/>
          <w:i w:val="false"/>
          <w:color w:val="000000"/>
          <w:sz w:val="28"/>
        </w:rPr>
        <w:t>
      1) деньги;</w:t>
      </w:r>
    </w:p>
    <w:bookmarkEnd w:id="68"/>
    <w:bookmarkStart w:name="z87" w:id="69"/>
    <w:p>
      <w:pPr>
        <w:spacing w:after="0"/>
        <w:ind w:left="0"/>
        <w:jc w:val="both"/>
      </w:pPr>
      <w:r>
        <w:rPr>
          <w:rFonts w:ascii="Times New Roman"/>
          <w:b w:val="false"/>
          <w:i w:val="false"/>
          <w:color w:val="000000"/>
          <w:sz w:val="28"/>
        </w:rPr>
        <w:t>
      2) государственные ценные бумаги Республики Казахстан;</w:t>
      </w:r>
    </w:p>
    <w:bookmarkEnd w:id="69"/>
    <w:bookmarkStart w:name="z88" w:id="70"/>
    <w:p>
      <w:pPr>
        <w:spacing w:after="0"/>
        <w:ind w:left="0"/>
        <w:jc w:val="both"/>
      </w:pPr>
      <w:r>
        <w:rPr>
          <w:rFonts w:ascii="Times New Roman"/>
          <w:b w:val="false"/>
          <w:i w:val="false"/>
          <w:color w:val="000000"/>
          <w:sz w:val="28"/>
        </w:rPr>
        <w:t>
      3) ценные бумаги иностранных государств, имеющих суверенный рейтинг не ниже "ВВВ-" по международной шкале агентства Standard &amp; Poor's (Стандард энд Пурс) или рейтинга аналогичного уровня одного из других рейтинговых агентств;</w:t>
      </w:r>
    </w:p>
    <w:bookmarkEnd w:id="70"/>
    <w:bookmarkStart w:name="z89" w:id="71"/>
    <w:p>
      <w:pPr>
        <w:spacing w:after="0"/>
        <w:ind w:left="0"/>
        <w:jc w:val="both"/>
      </w:pPr>
      <w:r>
        <w:rPr>
          <w:rFonts w:ascii="Times New Roman"/>
          <w:b w:val="false"/>
          <w:i w:val="false"/>
          <w:color w:val="000000"/>
          <w:sz w:val="28"/>
        </w:rPr>
        <w:t>
      4) акции юридических лиц Республики Казахстан, имеющих рейтинг не ниже "ВВ-" по международной шкале агентства Standard &amp; Poor's (Стандард энд Пурс) или рейтинга аналогичного уровня одного из других рейтинговых агентств или рейтинг не ниже "kzBB-" по национальной шкале агентства Standard &amp; Poor's (Стандард энд Пурс);</w:t>
      </w:r>
    </w:p>
    <w:bookmarkEnd w:id="71"/>
    <w:bookmarkStart w:name="z90" w:id="72"/>
    <w:p>
      <w:pPr>
        <w:spacing w:after="0"/>
        <w:ind w:left="0"/>
        <w:jc w:val="both"/>
      </w:pPr>
      <w:r>
        <w:rPr>
          <w:rFonts w:ascii="Times New Roman"/>
          <w:b w:val="false"/>
          <w:i w:val="false"/>
          <w:color w:val="000000"/>
          <w:sz w:val="28"/>
        </w:rPr>
        <w:t>
      5) депозитарные расписки, базовым активом которых являются акции юридических лиц Республики Казахстан, имеющих рейтинг не ниже "ВВ-" по международной шкале агентства Standard &amp; Poor's (Стандард энд Пурс) или рейтинга, аналогичного уровня одного из других рейтинговых агентств, или рейтинг не ниже "kzBB-" по национальной шкале агентства Standard &amp; Poor's (Стандард энд Пурс);</w:t>
      </w:r>
    </w:p>
    <w:bookmarkEnd w:id="72"/>
    <w:bookmarkStart w:name="z91" w:id="73"/>
    <w:p>
      <w:pPr>
        <w:spacing w:after="0"/>
        <w:ind w:left="0"/>
        <w:jc w:val="both"/>
      </w:pPr>
      <w:r>
        <w:rPr>
          <w:rFonts w:ascii="Times New Roman"/>
          <w:b w:val="false"/>
          <w:i w:val="false"/>
          <w:color w:val="000000"/>
          <w:sz w:val="28"/>
        </w:rPr>
        <w:t>
      6) акции юридических лиц - резидентов Республики Казахстан, включенные в категорию "премиум" сектора "акции" площадки "Основная" официального списка фондовой биржи;</w:t>
      </w:r>
    </w:p>
    <w:bookmarkEnd w:id="73"/>
    <w:bookmarkStart w:name="z92" w:id="74"/>
    <w:p>
      <w:pPr>
        <w:spacing w:after="0"/>
        <w:ind w:left="0"/>
        <w:jc w:val="both"/>
      </w:pPr>
      <w:r>
        <w:rPr>
          <w:rFonts w:ascii="Times New Roman"/>
          <w:b w:val="false"/>
          <w:i w:val="false"/>
          <w:color w:val="000000"/>
          <w:sz w:val="28"/>
        </w:rPr>
        <w:t>
      7) депозитарные расписки, базовым активом которых являются акции юридических лиц - резидентов Республики Казахстан, включенные в категорию "премиум" сектора "акции" площадки "Основная" официального списка фондовой биржи;</w:t>
      </w:r>
    </w:p>
    <w:bookmarkEnd w:id="74"/>
    <w:bookmarkStart w:name="z93" w:id="75"/>
    <w:p>
      <w:pPr>
        <w:spacing w:after="0"/>
        <w:ind w:left="0"/>
        <w:jc w:val="both"/>
      </w:pPr>
      <w:r>
        <w:rPr>
          <w:rFonts w:ascii="Times New Roman"/>
          <w:b w:val="false"/>
          <w:i w:val="false"/>
          <w:color w:val="000000"/>
          <w:sz w:val="28"/>
        </w:rPr>
        <w:t>
      8) негосударственные долговые ценные бумаги юридических лиц Республики Казахстан, выпущенные в соответствии с законодательством Республики Казахстан о рынке ценных бумаг и других государств, имеющие рейтинг не ниже "В-" по международной шкале агентства Standard &amp; Poor's (Стандард энд Пурс) или рейтинга аналогичного уровня одного из других рейтинговых агентств, или рейтинг не ниже "kzB-" по национальной шкале агентства Standard &amp; Poor's (Стандард энд Пурс);</w:t>
      </w:r>
    </w:p>
    <w:bookmarkEnd w:id="75"/>
    <w:bookmarkStart w:name="z94" w:id="76"/>
    <w:p>
      <w:pPr>
        <w:spacing w:after="0"/>
        <w:ind w:left="0"/>
        <w:jc w:val="both"/>
      </w:pPr>
      <w:r>
        <w:rPr>
          <w:rFonts w:ascii="Times New Roman"/>
          <w:b w:val="false"/>
          <w:i w:val="false"/>
          <w:color w:val="000000"/>
          <w:sz w:val="28"/>
        </w:rPr>
        <w:t>
      9) ценные бумаги, по которым имеется государственная гарантия Правительства Республики Казахстан;</w:t>
      </w:r>
    </w:p>
    <w:bookmarkEnd w:id="76"/>
    <w:bookmarkStart w:name="z95" w:id="77"/>
    <w:p>
      <w:pPr>
        <w:spacing w:after="0"/>
        <w:ind w:left="0"/>
        <w:jc w:val="both"/>
      </w:pPr>
      <w:r>
        <w:rPr>
          <w:rFonts w:ascii="Times New Roman"/>
          <w:b w:val="false"/>
          <w:i w:val="false"/>
          <w:color w:val="000000"/>
          <w:sz w:val="28"/>
        </w:rPr>
        <w:t>
      10) ценные бумаги международных финансовых организаций.</w:t>
      </w:r>
    </w:p>
    <w:bookmarkEnd w:id="77"/>
    <w:bookmarkStart w:name="z96" w:id="78"/>
    <w:p>
      <w:pPr>
        <w:spacing w:after="0"/>
        <w:ind w:left="0"/>
        <w:jc w:val="both"/>
      </w:pPr>
      <w:r>
        <w:rPr>
          <w:rFonts w:ascii="Times New Roman"/>
          <w:b w:val="false"/>
          <w:i w:val="false"/>
          <w:color w:val="000000"/>
          <w:sz w:val="28"/>
        </w:rPr>
        <w:t>
      В процессе обращения стоимость ценных бумаг и денег, включаемых в состав активов, являющихся обеспечением ипотечных облигаций, составляет не более 20 (двадцати) процентов от общей стоимости обеспечения.";</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98" w:id="79"/>
    <w:p>
      <w:pPr>
        <w:spacing w:after="0"/>
        <w:ind w:left="0"/>
        <w:jc w:val="both"/>
      </w:pPr>
      <w:r>
        <w:rPr>
          <w:rFonts w:ascii="Times New Roman"/>
          <w:b w:val="false"/>
          <w:i w:val="false"/>
          <w:color w:val="000000"/>
          <w:sz w:val="28"/>
        </w:rPr>
        <w:t>
      "25. В случае представления эмитентом документов для государственной регистрации изменений и (или) дополнений в условия выпуска облигаций эмитентом заполняется электронная форма:</w:t>
      </w:r>
    </w:p>
    <w:bookmarkEnd w:id="79"/>
    <w:bookmarkStart w:name="z99" w:id="80"/>
    <w:p>
      <w:pPr>
        <w:spacing w:after="0"/>
        <w:ind w:left="0"/>
        <w:jc w:val="both"/>
      </w:pPr>
      <w:r>
        <w:rPr>
          <w:rFonts w:ascii="Times New Roman"/>
          <w:b w:val="false"/>
          <w:i w:val="false"/>
          <w:color w:val="000000"/>
          <w:sz w:val="28"/>
        </w:rPr>
        <w:t xml:space="preserve">
      проспекта выпуска облигаций (проспекта облигационной программы) в соответствии со структурой проспекта выпуска облигаций (проспекта облигационной программы)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утвержденным настоящим постановлением (далее – Правила составления и оформления проспекта);</w:t>
      </w:r>
    </w:p>
    <w:bookmarkEnd w:id="80"/>
    <w:bookmarkStart w:name="z100" w:id="81"/>
    <w:p>
      <w:pPr>
        <w:spacing w:after="0"/>
        <w:ind w:left="0"/>
        <w:jc w:val="both"/>
      </w:pPr>
      <w:r>
        <w:rPr>
          <w:rFonts w:ascii="Times New Roman"/>
          <w:b w:val="false"/>
          <w:i w:val="false"/>
          <w:color w:val="000000"/>
          <w:sz w:val="28"/>
        </w:rPr>
        <w:t xml:space="preserve">
      проспекта выпуска облигаций в пределах облигационной программы в соответствии со структурой проспекта выпуска облигаций в пределах облигационной программы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составления и оформления проспекта;</w:t>
      </w:r>
    </w:p>
    <w:bookmarkEnd w:id="81"/>
    <w:bookmarkStart w:name="z101" w:id="82"/>
    <w:p>
      <w:pPr>
        <w:spacing w:after="0"/>
        <w:ind w:left="0"/>
        <w:jc w:val="both"/>
      </w:pPr>
      <w:r>
        <w:rPr>
          <w:rFonts w:ascii="Times New Roman"/>
          <w:b w:val="false"/>
          <w:i w:val="false"/>
          <w:color w:val="000000"/>
          <w:sz w:val="28"/>
        </w:rPr>
        <w:t xml:space="preserve">
      проспекта выпуска облигаций (проспект облигационной программы) эмитента - нерезидента Республики Казахстан в соответствии со структурой проспекта выпуска облигаций в пределах облигационной программы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составления и оформления проспекта.</w:t>
      </w:r>
    </w:p>
    <w:bookmarkEnd w:id="82"/>
    <w:bookmarkStart w:name="z102" w:id="83"/>
    <w:p>
      <w:pPr>
        <w:spacing w:after="0"/>
        <w:ind w:left="0"/>
        <w:jc w:val="both"/>
      </w:pPr>
      <w:r>
        <w:rPr>
          <w:rFonts w:ascii="Times New Roman"/>
          <w:b w:val="false"/>
          <w:i w:val="false"/>
          <w:color w:val="000000"/>
          <w:sz w:val="28"/>
        </w:rPr>
        <w:t xml:space="preserve">
      При заполнении электронных форм информация в проспекте выпуска облигаций (проспекте облигационной программы, проспекте выпуска облигаций в пределах облигационной программы) приводится на дату последнего рабочего дня месяца, предшествующего дате представления документов в уполномоченный орган, за исключением информации о финансовом состоянии эмитента. </w:t>
      </w:r>
    </w:p>
    <w:bookmarkEnd w:id="83"/>
    <w:bookmarkStart w:name="z103" w:id="84"/>
    <w:p>
      <w:pPr>
        <w:spacing w:after="0"/>
        <w:ind w:left="0"/>
        <w:jc w:val="both"/>
      </w:pPr>
      <w:r>
        <w:rPr>
          <w:rFonts w:ascii="Times New Roman"/>
          <w:b w:val="false"/>
          <w:i w:val="false"/>
          <w:color w:val="000000"/>
          <w:sz w:val="28"/>
        </w:rPr>
        <w:t>
      Сведения о финансовом состоянии эмитента приводятся по состоянию на конец последнего квартала перед подачей документов на государственную регистрацию изменений и (или) дополнений в условия выпуска облигаций либо на конец предпоследнего квартала в случае представления документов на государственную регистрацию изменений и (или) дополнений в условия выпуска облигаций до 25 числа месяца, следующего за последним кварталом перед подачей документов.".</w:t>
      </w:r>
    </w:p>
    <w:bookmarkEnd w:id="84"/>
    <w:bookmarkStart w:name="z104" w:id="85"/>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42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(зарегистрировано в Реестре государственной регистрации нормативных правовых актов под № 20223) следующие изменения:</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06" w:id="86"/>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государственных услугах</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86"/>
    <w:bookmarkStart w:name="z107"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утвержденных указанным постановлением:</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09" w:id="88"/>
    <w:p>
      <w:pPr>
        <w:spacing w:after="0"/>
        <w:ind w:left="0"/>
        <w:jc w:val="both"/>
      </w:pPr>
      <w:r>
        <w:rPr>
          <w:rFonts w:ascii="Times New Roman"/>
          <w:b w:val="false"/>
          <w:i w:val="false"/>
          <w:color w:val="000000"/>
          <w:sz w:val="28"/>
        </w:rPr>
        <w:t xml:space="preserve">
      "15. В случае представления обществом документов для регистрации изменений и (или) дополнений в проспект выпуска акций, обществом заполняется электронная форма проспекта выпуска акций в соответствии со структурой проспекта выпуска акций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утвержденным настоящим постановлением.</w:t>
      </w:r>
    </w:p>
    <w:bookmarkEnd w:id="88"/>
    <w:bookmarkStart w:name="z110" w:id="89"/>
    <w:p>
      <w:pPr>
        <w:spacing w:after="0"/>
        <w:ind w:left="0"/>
        <w:jc w:val="both"/>
      </w:pPr>
      <w:r>
        <w:rPr>
          <w:rFonts w:ascii="Times New Roman"/>
          <w:b w:val="false"/>
          <w:i w:val="false"/>
          <w:color w:val="000000"/>
          <w:sz w:val="28"/>
        </w:rPr>
        <w:t>
      При заполнении электронных форм информация в проспекте выпуска акций приводится на дату последнего рабочего дня месяца, предшествующего дате представления документов в уполномоченный орган.";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112" w:id="90"/>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19 октября 2020 года № 101 "Об утверждении Правил государственной регистрации выпуска паев паевого инвестиционного фонда" (зарегистрировано в Реестре государственной регистрации нормативных правовых актов под № 21508) следующие изменения и дополнения:</w:t>
      </w:r>
    </w:p>
    <w:bookmarkEnd w:id="90"/>
    <w:bookmarkStart w:name="z113"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выпуска паев паевого инвестиционного фонда, утвержденных указанным постановлением:</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15" w:id="92"/>
    <w:p>
      <w:pPr>
        <w:spacing w:after="0"/>
        <w:ind w:left="0"/>
        <w:jc w:val="both"/>
      </w:pPr>
      <w:r>
        <w:rPr>
          <w:rFonts w:ascii="Times New Roman"/>
          <w:b w:val="false"/>
          <w:i w:val="false"/>
          <w:color w:val="000000"/>
          <w:sz w:val="28"/>
        </w:rPr>
        <w:t>
      "3. В Правилах используются следующие основные понятия и сокращения:</w:t>
      </w:r>
    </w:p>
    <w:bookmarkEnd w:id="92"/>
    <w:bookmarkStart w:name="z116" w:id="93"/>
    <w:p>
      <w:pPr>
        <w:spacing w:after="0"/>
        <w:ind w:left="0"/>
        <w:jc w:val="both"/>
      </w:pPr>
      <w:r>
        <w:rPr>
          <w:rFonts w:ascii="Times New Roman"/>
          <w:b w:val="false"/>
          <w:i w:val="false"/>
          <w:color w:val="000000"/>
          <w:sz w:val="28"/>
        </w:rPr>
        <w:t>
      1) управляющая компания, услугополучатель - профессиональный участник рынка ценных бумаг, осуществляющий деятельность по управлению инвестиционным портфелем на основании лицензии, выданной уполномоченным органом;</w:t>
      </w:r>
    </w:p>
    <w:bookmarkEnd w:id="93"/>
    <w:bookmarkStart w:name="z117" w:id="94"/>
    <w:p>
      <w:pPr>
        <w:spacing w:after="0"/>
        <w:ind w:left="0"/>
        <w:jc w:val="both"/>
      </w:pPr>
      <w:r>
        <w:rPr>
          <w:rFonts w:ascii="Times New Roman"/>
          <w:b w:val="false"/>
          <w:i w:val="false"/>
          <w:color w:val="000000"/>
          <w:sz w:val="28"/>
        </w:rPr>
        <w:t>
      2) биржевой паевой инвестиционный фонд (Exchange Traded Fund) (ETF) (Эксчейндж Трэйдэд Фандс) – интервальный паевой инвестиционный фонд индексного инвестирования, паи которого обращаются на фондовой бирже;</w:t>
      </w:r>
    </w:p>
    <w:bookmarkEnd w:id="94"/>
    <w:bookmarkStart w:name="z118" w:id="95"/>
    <w:p>
      <w:pPr>
        <w:spacing w:after="0"/>
        <w:ind w:left="0"/>
        <w:jc w:val="both"/>
      </w:pPr>
      <w:r>
        <w:rPr>
          <w:rFonts w:ascii="Times New Roman"/>
          <w:b w:val="false"/>
          <w:i w:val="false"/>
          <w:color w:val="000000"/>
          <w:sz w:val="28"/>
        </w:rPr>
        <w:t>
      3) государственная услуга - государственная услуга "Государственная регистрация выпуска паев паевых инвестиционных фондов, внесение изменений и (или) дополнений в правила паевого инвестиционного фонда";</w:t>
      </w:r>
    </w:p>
    <w:bookmarkEnd w:id="95"/>
    <w:bookmarkStart w:name="z119" w:id="96"/>
    <w:p>
      <w:pPr>
        <w:spacing w:after="0"/>
        <w:ind w:left="0"/>
        <w:jc w:val="both"/>
      </w:pPr>
      <w:r>
        <w:rPr>
          <w:rFonts w:ascii="Times New Roman"/>
          <w:b w:val="false"/>
          <w:i w:val="false"/>
          <w:color w:val="000000"/>
          <w:sz w:val="28"/>
        </w:rPr>
        <w:t xml:space="preserve">
      4) пай - именная эмиссионная ценная бумага бездокументарной формы выпуска, подтверждающая долю ее собственника в паевом инвестиционном фонде, право на получение денег, полученных от реализации активов паевого инвестиционного фонда и (или) иного имущества в случае, установленном </w:t>
      </w:r>
      <w:r>
        <w:rPr>
          <w:rFonts w:ascii="Times New Roman"/>
          <w:b w:val="false"/>
          <w:i w:val="false"/>
          <w:color w:val="000000"/>
          <w:sz w:val="28"/>
        </w:rPr>
        <w:t>Законом</w:t>
      </w:r>
      <w:r>
        <w:rPr>
          <w:rFonts w:ascii="Times New Roman"/>
          <w:b w:val="false"/>
          <w:i w:val="false"/>
          <w:color w:val="000000"/>
          <w:sz w:val="28"/>
        </w:rPr>
        <w:t xml:space="preserve"> об инвестиционных фондах, при прекращении его существования, а также иные права, связанные с особенностями деятельности паевых инвестиционных фондов, определенных </w:t>
      </w:r>
      <w:r>
        <w:rPr>
          <w:rFonts w:ascii="Times New Roman"/>
          <w:b w:val="false"/>
          <w:i w:val="false"/>
          <w:color w:val="000000"/>
          <w:sz w:val="28"/>
        </w:rPr>
        <w:t>Законом</w:t>
      </w:r>
      <w:r>
        <w:rPr>
          <w:rFonts w:ascii="Times New Roman"/>
          <w:b w:val="false"/>
          <w:i w:val="false"/>
          <w:color w:val="000000"/>
          <w:sz w:val="28"/>
        </w:rPr>
        <w:t xml:space="preserve"> об инвестиционных фондах;</w:t>
      </w:r>
    </w:p>
    <w:bookmarkEnd w:id="96"/>
    <w:bookmarkStart w:name="z120" w:id="97"/>
    <w:p>
      <w:pPr>
        <w:spacing w:after="0"/>
        <w:ind w:left="0"/>
        <w:jc w:val="both"/>
      </w:pPr>
      <w:r>
        <w:rPr>
          <w:rFonts w:ascii="Times New Roman"/>
          <w:b w:val="false"/>
          <w:i w:val="false"/>
          <w:color w:val="000000"/>
          <w:sz w:val="28"/>
        </w:rPr>
        <w:t>
      5) портал - веб-портал Акционерного общества "Центральный депозитарий ценных бумаг";</w:t>
      </w:r>
    </w:p>
    <w:bookmarkEnd w:id="97"/>
    <w:bookmarkStart w:name="z121" w:id="98"/>
    <w:p>
      <w:pPr>
        <w:spacing w:after="0"/>
        <w:ind w:left="0"/>
        <w:jc w:val="both"/>
      </w:pPr>
      <w:r>
        <w:rPr>
          <w:rFonts w:ascii="Times New Roman"/>
          <w:b w:val="false"/>
          <w:i w:val="false"/>
          <w:color w:val="000000"/>
          <w:sz w:val="28"/>
        </w:rPr>
        <w:t>
      6) заявление - заявление на государственную регистрацию выпуска паев паевых инвестиционных фондов и (или) согласование изменений и (или) дополнений в правила паевого инвестиционного фонда;</w:t>
      </w:r>
    </w:p>
    <w:bookmarkEnd w:id="98"/>
    <w:bookmarkStart w:name="z122" w:id="99"/>
    <w:p>
      <w:pPr>
        <w:spacing w:after="0"/>
        <w:ind w:left="0"/>
        <w:jc w:val="both"/>
      </w:pPr>
      <w:r>
        <w:rPr>
          <w:rFonts w:ascii="Times New Roman"/>
          <w:b w:val="false"/>
          <w:i w:val="false"/>
          <w:color w:val="000000"/>
          <w:sz w:val="28"/>
        </w:rPr>
        <w:t>
      7) уполномоченный орган - уполномоченный орган по регулированию, контролю и надзору финансового рынка и финансовых организаций.";</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24" w:id="100"/>
    <w:p>
      <w:pPr>
        <w:spacing w:after="0"/>
        <w:ind w:left="0"/>
        <w:jc w:val="both"/>
      </w:pPr>
      <w:r>
        <w:rPr>
          <w:rFonts w:ascii="Times New Roman"/>
          <w:b w:val="false"/>
          <w:i w:val="false"/>
          <w:color w:val="000000"/>
          <w:sz w:val="28"/>
        </w:rPr>
        <w:t xml:space="preserve">
      "6. Правила паевого инвестиционного фонда составляются на казахском и русском языках и оформляются в соответствии со структурой правил паевого инвестиционного фонда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00"/>
    <w:bookmarkStart w:name="z125" w:id="101"/>
    <w:p>
      <w:pPr>
        <w:spacing w:after="0"/>
        <w:ind w:left="0"/>
        <w:jc w:val="both"/>
      </w:pPr>
      <w:r>
        <w:rPr>
          <w:rFonts w:ascii="Times New Roman"/>
          <w:b w:val="false"/>
          <w:i w:val="false"/>
          <w:color w:val="000000"/>
          <w:sz w:val="28"/>
        </w:rPr>
        <w:t>
      При необходимости согласования изменений и (или) дополнений в правила паевого инвестиционного фонда, зарегистрированных уполномоченным органом до 1 июля 2023 года, управляющей компанией предоставляется электронная форма правил паевого инвестиционного фонда.";</w:t>
      </w:r>
    </w:p>
    <w:bookmarkEnd w:id="101"/>
    <w:bookmarkStart w:name="z126" w:id="102"/>
    <w:p>
      <w:pPr>
        <w:spacing w:after="0"/>
        <w:ind w:left="0"/>
        <w:jc w:val="both"/>
      </w:pPr>
      <w:r>
        <w:rPr>
          <w:rFonts w:ascii="Times New Roman"/>
          <w:b w:val="false"/>
          <w:i w:val="false"/>
          <w:color w:val="000000"/>
          <w:sz w:val="28"/>
        </w:rPr>
        <w:t>
      дополнить пунктом 6-1 следующего содержания:</w:t>
      </w:r>
    </w:p>
    <w:bookmarkEnd w:id="102"/>
    <w:bookmarkStart w:name="z127" w:id="103"/>
    <w:p>
      <w:pPr>
        <w:spacing w:after="0"/>
        <w:ind w:left="0"/>
        <w:jc w:val="both"/>
      </w:pPr>
      <w:r>
        <w:rPr>
          <w:rFonts w:ascii="Times New Roman"/>
          <w:b w:val="false"/>
          <w:i w:val="false"/>
          <w:color w:val="000000"/>
          <w:sz w:val="28"/>
        </w:rPr>
        <w:t>
      "6-1. Правила биржевых паевых инвестиционных фондов (Exchange Traded Fund) (ETF) (Эксчейндж Трэйдэд Фандс) подлежат предварительному согласованию с фондовой биржей до даты направления заявления на государственную регистрацию выпуска паев биржевых паевых инвестиционных фондов в уполномоченный орган.";</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рынка ценных бумаг,</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60</w:t>
            </w:r>
          </w:p>
        </w:tc>
      </w:tr>
    </w:tbl>
    <w:bookmarkStart w:name="z131" w:id="104"/>
    <w:p>
      <w:pPr>
        <w:spacing w:after="0"/>
        <w:ind w:left="0"/>
        <w:jc w:val="left"/>
      </w:pPr>
      <w:r>
        <w:rPr>
          <w:rFonts w:ascii="Times New Roman"/>
          <w:b/>
          <w:i w:val="false"/>
          <w:color w:val="000000"/>
        </w:rPr>
        <w:t xml:space="preserve"> Перечень финансовых инструментов, которые могут входить в состав активов акционерных и паевых инвестиционных фондов</w:t>
      </w:r>
    </w:p>
    <w:bookmarkEnd w:id="104"/>
    <w:bookmarkStart w:name="z132" w:id="105"/>
    <w:p>
      <w:pPr>
        <w:spacing w:after="0"/>
        <w:ind w:left="0"/>
        <w:jc w:val="both"/>
      </w:pPr>
      <w:r>
        <w:rPr>
          <w:rFonts w:ascii="Times New Roman"/>
          <w:b w:val="false"/>
          <w:i w:val="false"/>
          <w:color w:val="000000"/>
          <w:sz w:val="28"/>
        </w:rPr>
        <w:t>
      1. Перечень финансовых инструментов, в которые управляющая компания инвестирует находящиеся в инвестиционном управлении активы каждого отдельного открытого либо интервального паевого инвестиционного фонда, и требования, предъявляемые к ним:</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иностранных государств), выпущенные Министерством финансов Республики Казахстан и Национальным Банком Республики Казахстан, а также ценные бумаги, выпущенные под гарантию Правительства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местными исполнительными органами Республики Казахстан, включенные в официальный список фондовой биржи и (или) допущенные к публичным торгам на фондовой бирже, функционирующей на территории Международного Финансового Центра "Астана"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и его дочерними организациями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соответствии одному из следующих условий:</w:t>
            </w:r>
          </w:p>
          <w:p>
            <w:pPr>
              <w:spacing w:after="20"/>
              <w:ind w:left="20"/>
              <w:jc w:val="both"/>
            </w:pPr>
            <w:r>
              <w:rPr>
                <w:rFonts w:ascii="Times New Roman"/>
                <w:b w:val="false"/>
                <w:i w:val="false"/>
                <w:color w:val="000000"/>
                <w:sz w:val="20"/>
              </w:rPr>
              <w:t>банки имеют долгосрочный кредитный рейтинг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"kzВB-"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банки являются дочерними банками-резидентами, родительский банк-нерезидент которых имеет долгосрочный кредитный рейтинг по международной шкале агентства Standard &amp; Poor’s (Стандард энд Пурс) не ниже "А-"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организациями Республики Казахстан в соответствии с законодательством Республики Казахстан или иностранных государств:</w:t>
            </w:r>
          </w:p>
          <w:p>
            <w:pPr>
              <w:spacing w:after="20"/>
              <w:ind w:left="20"/>
              <w:jc w:val="both"/>
            </w:pPr>
            <w:r>
              <w:rPr>
                <w:rFonts w:ascii="Times New Roman"/>
                <w:b w:val="false"/>
                <w:i w:val="false"/>
                <w:color w:val="000000"/>
                <w:sz w:val="20"/>
              </w:rPr>
              <w:t>акции эмитентов, имеющих рейтинговую оценку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и (или) акции, включенные в официальный список фондовой биржи, соответствующие требованиям секторов "акции" официального списка фондовой биржи и (или) акции эмитентов,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долговые ценные бумаги, имеющие рейтинговую оценку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или долговые ценные бумаги, включенные в официальный список фондовой биржи, соответствующие требованиям секторов "долговые ценные бумаги" официального списка фондовой биржи и (или) долговые ценные бумаги,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инфраструктурные облигации организаций Республики Казахстан, включенные в официальный список фондовой биржи и (или) инфраструктурные облигации организаций Республики Казахстан,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паи интервальных паевых инвестиционных фондов, управляющая компания которых является юридическим лицом, созданным в соответствии с законодательством Республики Казахстан (за исключением паевых инвестиционных фондов, управляющей компанией которых является управляющая компания паевого инвестиционного фонда, за счет активов которого приобретаются данные паи), включенные в официальный список фондовой биржи и (или)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ценные бумаги, выпущенные в рамках реструктуризации обязательств эмитента в целях обмена на ранее выпущенные ценные бумаги либо иные обязательства данного эмитента.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указанные в строках 5, 12, 13 настоящего пункта, либо базовым активом которых являются ценные бумаги эмитентов, имеющих рейтинговую оценку в иностранной валюте по международной шкале кредитного рейтинга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стран,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(Лондон биллион маркет асоциэйшн) и обозначенным в документах данной ассоциации как стандарт "Лондонская качественная поставка" ("London good delivery") ("Лондон гуд деливери") и металлические депозиты, в том числе, в банках-нерезидентах Республики Казахстан, обладающих рейтинговой оценкой не ниже "А-" по международной шкале агентства Standard &amp; Poor's (Стандард энд Пурс) или рейтинг аналогичного уровня одного из других рейтинговых агентств, на срок не более двенадцати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следующими международными финансовыми организациями: Азиатским банком развития;</w:t>
            </w:r>
          </w:p>
          <w:p>
            <w:pPr>
              <w:spacing w:after="20"/>
              <w:ind w:left="20"/>
              <w:jc w:val="both"/>
            </w:pPr>
            <w:r>
              <w:rPr>
                <w:rFonts w:ascii="Times New Roman"/>
                <w:b w:val="false"/>
                <w:i w:val="false"/>
                <w:color w:val="000000"/>
                <w:sz w:val="20"/>
              </w:rPr>
              <w:t>Африканским банком развития;</w:t>
            </w:r>
          </w:p>
          <w:p>
            <w:pPr>
              <w:spacing w:after="20"/>
              <w:ind w:left="20"/>
              <w:jc w:val="both"/>
            </w:pPr>
            <w:r>
              <w:rPr>
                <w:rFonts w:ascii="Times New Roman"/>
                <w:b w:val="false"/>
                <w:i w:val="false"/>
                <w:color w:val="000000"/>
                <w:sz w:val="20"/>
              </w:rPr>
              <w:t>Банком международных расчетов;</w:t>
            </w:r>
          </w:p>
          <w:p>
            <w:pPr>
              <w:spacing w:after="20"/>
              <w:ind w:left="20"/>
              <w:jc w:val="both"/>
            </w:pPr>
            <w:r>
              <w:rPr>
                <w:rFonts w:ascii="Times New Roman"/>
                <w:b w:val="false"/>
                <w:i w:val="false"/>
                <w:color w:val="000000"/>
                <w:sz w:val="20"/>
              </w:rPr>
              <w:t>Евразийским банком развития;</w:t>
            </w:r>
          </w:p>
          <w:p>
            <w:pPr>
              <w:spacing w:after="20"/>
              <w:ind w:left="20"/>
              <w:jc w:val="both"/>
            </w:pPr>
            <w:r>
              <w:rPr>
                <w:rFonts w:ascii="Times New Roman"/>
                <w:b w:val="false"/>
                <w:i w:val="false"/>
                <w:color w:val="000000"/>
                <w:sz w:val="20"/>
              </w:rPr>
              <w:t>Европейским инвестиционным банком;</w:t>
            </w:r>
          </w:p>
          <w:p>
            <w:pPr>
              <w:spacing w:after="20"/>
              <w:ind w:left="20"/>
              <w:jc w:val="both"/>
            </w:pPr>
            <w:r>
              <w:rPr>
                <w:rFonts w:ascii="Times New Roman"/>
                <w:b w:val="false"/>
                <w:i w:val="false"/>
                <w:color w:val="000000"/>
                <w:sz w:val="20"/>
              </w:rPr>
              <w:t>Европейским банком реконструкции и развития;</w:t>
            </w:r>
          </w:p>
          <w:p>
            <w:pPr>
              <w:spacing w:after="20"/>
              <w:ind w:left="20"/>
              <w:jc w:val="both"/>
            </w:pPr>
            <w:r>
              <w:rPr>
                <w:rFonts w:ascii="Times New Roman"/>
                <w:b w:val="false"/>
                <w:i w:val="false"/>
                <w:color w:val="000000"/>
                <w:sz w:val="20"/>
              </w:rPr>
              <w:t>Исламским банком развития;</w:t>
            </w:r>
          </w:p>
          <w:p>
            <w:pPr>
              <w:spacing w:after="20"/>
              <w:ind w:left="20"/>
              <w:jc w:val="both"/>
            </w:pPr>
            <w:r>
              <w:rPr>
                <w:rFonts w:ascii="Times New Roman"/>
                <w:b w:val="false"/>
                <w:i w:val="false"/>
                <w:color w:val="000000"/>
                <w:sz w:val="20"/>
              </w:rPr>
              <w:t>Межамериканским банком развития;</w:t>
            </w:r>
          </w:p>
          <w:p>
            <w:pPr>
              <w:spacing w:after="20"/>
              <w:ind w:left="20"/>
              <w:jc w:val="both"/>
            </w:pPr>
            <w:r>
              <w:rPr>
                <w:rFonts w:ascii="Times New Roman"/>
                <w:b w:val="false"/>
                <w:i w:val="false"/>
                <w:color w:val="000000"/>
                <w:sz w:val="20"/>
              </w:rPr>
              <w:t>Международным банком реконструкции и развития;</w:t>
            </w:r>
          </w:p>
          <w:p>
            <w:pPr>
              <w:spacing w:after="20"/>
              <w:ind w:left="20"/>
              <w:jc w:val="both"/>
            </w:pPr>
            <w:r>
              <w:rPr>
                <w:rFonts w:ascii="Times New Roman"/>
                <w:b w:val="false"/>
                <w:i w:val="false"/>
                <w:color w:val="000000"/>
                <w:sz w:val="20"/>
              </w:rPr>
              <w:t>Международной финансовой корпорацией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 долговые ценные бумаги, имеющие рейтинговую оценку не ниже "ВВ-" по международной шкале агентства Standard &amp; Poor's (Стандард энд Пурс) или рейтинговую оценку аналогичного уровня одного из других рейтинговых агентств и (или) долговые ценные бумаги, включенные в список фондовой биржи, функционирующей на территории иностранного государства, признаваемой фондовой биржей, функционирующей на территории Республики Казахстан;</w:t>
            </w:r>
          </w:p>
          <w:p>
            <w:pPr>
              <w:spacing w:after="20"/>
              <w:ind w:left="20"/>
              <w:jc w:val="both"/>
            </w:pPr>
            <w:r>
              <w:rPr>
                <w:rFonts w:ascii="Times New Roman"/>
                <w:b w:val="false"/>
                <w:i w:val="false"/>
                <w:color w:val="000000"/>
                <w:sz w:val="20"/>
              </w:rPr>
              <w:t>акции, выпущенные иностранными организациями, имеющими рейтинговую оценку не ниже "ВВ-" по международной шкале агентства Standard &amp; Poor's (Стандард энд Пурс) или рейтинговую оценку аналогичного уровня одного из других рейтинговых агентств и (или) акции, включенные в список фондовой биржи, функционирующей на территории иностранного государства, признаваемой фондовой биржей,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 признаваемыми резидентами Республики Казахстан, включенные в официальный список фондовой биржи,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6"/>
          <w:p>
            <w:pPr>
              <w:spacing w:after="20"/>
              <w:ind w:left="20"/>
              <w:jc w:val="both"/>
            </w:pPr>
            <w:r>
              <w:rPr>
                <w:rFonts w:ascii="Times New Roman"/>
                <w:b w:val="false"/>
                <w:i w:val="false"/>
                <w:color w:val="000000"/>
                <w:sz w:val="20"/>
              </w:rPr>
              <w:t>
Principal protected notes (Принципл протектед ноутс), выпущенные организациями, имеющими рейтинговую оценку не ниже "А-" по международной шкале агентства Standard &amp; Poor’s (Стандард энд Пурс) или рейтинговую оценку аналогичного уровня одного из других рейтинговых агентств, которые соответствуют следующим условиям:</w:t>
            </w:r>
          </w:p>
          <w:bookmarkEnd w:id="106"/>
          <w:p>
            <w:pPr>
              <w:spacing w:after="20"/>
              <w:ind w:left="20"/>
              <w:jc w:val="both"/>
            </w:pPr>
            <w:r>
              <w:rPr>
                <w:rFonts w:ascii="Times New Roman"/>
                <w:b w:val="false"/>
                <w:i w:val="false"/>
                <w:color w:val="000000"/>
                <w:sz w:val="20"/>
              </w:rPr>
              <w:t>
срок обращения не превышает пяти лет;</w:t>
            </w:r>
          </w:p>
          <w:p>
            <w:pPr>
              <w:spacing w:after="20"/>
              <w:ind w:left="20"/>
              <w:jc w:val="both"/>
            </w:pPr>
            <w:r>
              <w:rPr>
                <w:rFonts w:ascii="Times New Roman"/>
                <w:b w:val="false"/>
                <w:i w:val="false"/>
                <w:color w:val="000000"/>
                <w:sz w:val="20"/>
              </w:rPr>
              <w:t>условиями выпуска principal protected notes (принципл протектед ноутс) не предусмотрены случаи дефолта какого-либо государства, эмитента по своим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кредитный рейтинг не ниже "А-" по международной шкале агентства Standard &amp; Poor's (Стандард энд Пурс)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(фьючерсы, опционы, свопы, форварды), заключенные в целях хеджирования, базовым активом которых являются финансовые инструменты, которые входят в состав активов открытого и интервального паевых инвестиционных фондов, иностранная валюта, а также следующие расчетные показатели (индексы):</w:t>
            </w:r>
          </w:p>
          <w:p>
            <w:pPr>
              <w:spacing w:after="20"/>
              <w:ind w:left="20"/>
              <w:jc w:val="both"/>
            </w:pPr>
            <w:r>
              <w:rPr>
                <w:rFonts w:ascii="Times New Roman"/>
                <w:b w:val="false"/>
                <w:i w:val="false"/>
                <w:color w:val="000000"/>
                <w:sz w:val="20"/>
              </w:rPr>
              <w:t>AIX (Astana International Exchange) (Астана Интернейшнл Эксчейндж);</w:t>
            </w:r>
          </w:p>
          <w:p>
            <w:pPr>
              <w:spacing w:after="20"/>
              <w:ind w:left="20"/>
              <w:jc w:val="both"/>
            </w:pPr>
            <w:r>
              <w:rPr>
                <w:rFonts w:ascii="Times New Roman"/>
                <w:b w:val="false"/>
                <w:i w:val="false"/>
                <w:color w:val="000000"/>
                <w:sz w:val="20"/>
              </w:rPr>
              <w:t>САС 40 (Compagnie des Agents de Change 40 Index) (Компани дэ Эжон дэ Шанж 40 Индекс);</w:t>
            </w:r>
          </w:p>
          <w:p>
            <w:pPr>
              <w:spacing w:after="20"/>
              <w:ind w:left="20"/>
              <w:jc w:val="both"/>
            </w:pPr>
            <w:r>
              <w:rPr>
                <w:rFonts w:ascii="Times New Roman"/>
                <w:b w:val="false"/>
                <w:i w:val="false"/>
                <w:color w:val="000000"/>
                <w:sz w:val="20"/>
              </w:rPr>
              <w:t>DAX (Deutscher Aktienindex) (Дойтче Акциениндекс);</w:t>
            </w:r>
          </w:p>
          <w:p>
            <w:pPr>
              <w:spacing w:after="20"/>
              <w:ind w:left="20"/>
              <w:jc w:val="both"/>
            </w:pPr>
            <w:r>
              <w:rPr>
                <w:rFonts w:ascii="Times New Roman"/>
                <w:b w:val="false"/>
                <w:i w:val="false"/>
                <w:color w:val="000000"/>
                <w:sz w:val="20"/>
              </w:rPr>
              <w:t>DJIA (Dow Jones Industrial Average) (Доу Джонс Индастриал Эвередж);</w:t>
            </w:r>
          </w:p>
          <w:p>
            <w:pPr>
              <w:spacing w:after="20"/>
              <w:ind w:left="20"/>
              <w:jc w:val="both"/>
            </w:pPr>
            <w:r>
              <w:rPr>
                <w:rFonts w:ascii="Times New Roman"/>
                <w:b w:val="false"/>
                <w:i w:val="false"/>
                <w:color w:val="000000"/>
                <w:sz w:val="20"/>
              </w:rPr>
              <w:t>EURO STOXX 50 (EURO STOXX 50 Price Index) (Юроп Эс Ти Оу Экс Экс 50 Прайс Индекс);</w:t>
            </w:r>
          </w:p>
          <w:p>
            <w:pPr>
              <w:spacing w:after="20"/>
              <w:ind w:left="20"/>
              <w:jc w:val="both"/>
            </w:pPr>
            <w:r>
              <w:rPr>
                <w:rFonts w:ascii="Times New Roman"/>
                <w:b w:val="false"/>
                <w:i w:val="false"/>
                <w:color w:val="000000"/>
                <w:sz w:val="20"/>
              </w:rPr>
              <w:t>FTSE 100 (Financial Times Stock Exchange 100 Index) (Файнэншл Таймс Сток Эксчейндж 100 Индекс);</w:t>
            </w:r>
          </w:p>
          <w:p>
            <w:pPr>
              <w:spacing w:after="20"/>
              <w:ind w:left="20"/>
              <w:jc w:val="both"/>
            </w:pPr>
            <w:r>
              <w:rPr>
                <w:rFonts w:ascii="Times New Roman"/>
                <w:b w:val="false"/>
                <w:i w:val="false"/>
                <w:color w:val="000000"/>
                <w:sz w:val="20"/>
              </w:rPr>
              <w:t>HSI (Hang Seng Index) (Ханг Сенг Индекс);</w:t>
            </w:r>
          </w:p>
          <w:p>
            <w:pPr>
              <w:spacing w:after="20"/>
              <w:ind w:left="20"/>
              <w:jc w:val="both"/>
            </w:pPr>
            <w:r>
              <w:rPr>
                <w:rFonts w:ascii="Times New Roman"/>
                <w:b w:val="false"/>
                <w:i w:val="false"/>
                <w:color w:val="000000"/>
                <w:sz w:val="20"/>
              </w:rPr>
              <w:t>KASE (Kazakhstan Stock Exchange Index) (Казахстан Сток Эксчейндж Индекс);</w:t>
            </w:r>
          </w:p>
          <w:p>
            <w:pPr>
              <w:spacing w:after="20"/>
              <w:ind w:left="20"/>
              <w:jc w:val="both"/>
            </w:pPr>
            <w:r>
              <w:rPr>
                <w:rFonts w:ascii="Times New Roman"/>
                <w:b w:val="false"/>
                <w:i w:val="false"/>
                <w:color w:val="000000"/>
                <w:sz w:val="20"/>
              </w:rPr>
              <w:t>MSCI World Index (Morgan Stanley Capital International World Index) (Морган Стэнли Кэпитал Интернешнл Ворлд Индекс);</w:t>
            </w:r>
          </w:p>
          <w:p>
            <w:pPr>
              <w:spacing w:after="20"/>
              <w:ind w:left="20"/>
              <w:jc w:val="both"/>
            </w:pPr>
            <w:r>
              <w:rPr>
                <w:rFonts w:ascii="Times New Roman"/>
                <w:b w:val="false"/>
                <w:i w:val="false"/>
                <w:color w:val="000000"/>
                <w:sz w:val="20"/>
              </w:rPr>
              <w:t>MOEX Russia (Moscow Exchange Russia Index) (Москоу Эксчейндж Раша Индекс);</w:t>
            </w:r>
          </w:p>
          <w:p>
            <w:pPr>
              <w:spacing w:after="20"/>
              <w:ind w:left="20"/>
              <w:jc w:val="both"/>
            </w:pPr>
            <w:r>
              <w:rPr>
                <w:rFonts w:ascii="Times New Roman"/>
                <w:b w:val="false"/>
                <w:i w:val="false"/>
                <w:color w:val="000000"/>
                <w:sz w:val="20"/>
              </w:rPr>
              <w:t>NIKKEI 225 (Nikkei-225 Stock Average Index) (Никкэй-225 Сток Эвередж Индекс);</w:t>
            </w:r>
          </w:p>
          <w:p>
            <w:pPr>
              <w:spacing w:after="20"/>
              <w:ind w:left="20"/>
              <w:jc w:val="both"/>
            </w:pPr>
            <w:r>
              <w:rPr>
                <w:rFonts w:ascii="Times New Roman"/>
                <w:b w:val="false"/>
                <w:i w:val="false"/>
                <w:color w:val="000000"/>
                <w:sz w:val="20"/>
              </w:rPr>
              <w:t>RTSI (Russian Trade System Index) (Рашен Трейд Систем Индекс);</w:t>
            </w:r>
          </w:p>
          <w:p>
            <w:pPr>
              <w:spacing w:after="20"/>
              <w:ind w:left="20"/>
              <w:jc w:val="both"/>
            </w:pPr>
            <w:r>
              <w:rPr>
                <w:rFonts w:ascii="Times New Roman"/>
                <w:b w:val="false"/>
                <w:i w:val="false"/>
                <w:color w:val="000000"/>
                <w:sz w:val="20"/>
              </w:rPr>
              <w:t>S&amp;P 500 (Standard and Poor's 500 Index) (Стандард энд Пурс 500 Индекс);</w:t>
            </w:r>
          </w:p>
          <w:p>
            <w:pPr>
              <w:spacing w:after="20"/>
              <w:ind w:left="20"/>
              <w:jc w:val="both"/>
            </w:pPr>
            <w:r>
              <w:rPr>
                <w:rFonts w:ascii="Times New Roman"/>
                <w:b w:val="false"/>
                <w:i w:val="false"/>
                <w:color w:val="000000"/>
                <w:sz w:val="20"/>
              </w:rPr>
              <w:t>TOPIX 100 (Tokyo Stock Price 100 Index) (Токио Сток Прайс 100 Индекс);</w:t>
            </w:r>
          </w:p>
          <w:p>
            <w:pPr>
              <w:spacing w:after="20"/>
              <w:ind w:left="20"/>
              <w:jc w:val="both"/>
            </w:pPr>
            <w:r>
              <w:rPr>
                <w:rFonts w:ascii="Times New Roman"/>
                <w:b w:val="false"/>
                <w:i w:val="false"/>
                <w:color w:val="000000"/>
                <w:sz w:val="20"/>
              </w:rPr>
              <w:t>NASDAQ-100 (Nasdaq-100 Index) (Насдак-100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товариществе с ограниченной ответственностью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r>
    </w:tbl>
    <w:bookmarkStart w:name="z134" w:id="107"/>
    <w:p>
      <w:pPr>
        <w:spacing w:after="0"/>
        <w:ind w:left="0"/>
        <w:jc w:val="both"/>
      </w:pPr>
      <w:r>
        <w:rPr>
          <w:rFonts w:ascii="Times New Roman"/>
          <w:b w:val="false"/>
          <w:i w:val="false"/>
          <w:color w:val="000000"/>
          <w:sz w:val="28"/>
        </w:rPr>
        <w:t>
      2. Перечень финансовых инструментов, в которые управляющая компания инвестирует находящиеся в инвестиционном управлении активы каждого отдельного фонда недвижимости, и требования, предъявляемые к ним:</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а также ценные бумаги, выпущенные под гарантию Правительства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местными исполнительными органами Республики Казахстан, включенные в официальный список фондовой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соответствии одному из следующих условий:</w:t>
            </w:r>
          </w:p>
          <w:p>
            <w:pPr>
              <w:spacing w:after="20"/>
              <w:ind w:left="20"/>
              <w:jc w:val="both"/>
            </w:pPr>
            <w:r>
              <w:rPr>
                <w:rFonts w:ascii="Times New Roman"/>
                <w:b w:val="false"/>
                <w:i w:val="false"/>
                <w:color w:val="000000"/>
                <w:sz w:val="20"/>
              </w:rPr>
              <w:t>банки имеют долгосрочный кредитный рейтинг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банки являются дочерними банками-резидентами, родительский банк-нерезидент которых имеет долгосрочный кредитный рейтинг по международной шкале агентства Standard &amp; Poor's (Стандард энд Пурс) не ниже "А-"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при условии их нахождения на дату заключения сделки в представительском списке индекса фондовой биржи,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организациями Республики Казахстан в соответствии с законодательством Республики Казахстан или иностранных государств, имеющие рейтинговую оценку не ниже "ВВ-"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иностранными организациями, имеющие рейтинговую оценку не ниже "АА-" по международной шкале агентства Standard &amp; Poor’s (Стандард энд Пурс)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выпущенные иностранными организациями, имеющими рейтинговую оценку не ниже "АА-" по международной шкале агентства Standard &amp; Poor’s (Стандард энд Пурс)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следующими международными финансовыми организациями, имеющие рейтинговую оценку не ниже "ВВВ" по международной шкале агентства Standard &amp; Poor's (Стандард энд Пурс), или рейтинговую оценку аналогичного уровня одного из других рейтинговых агентств:</w:t>
            </w:r>
          </w:p>
          <w:p>
            <w:pPr>
              <w:spacing w:after="20"/>
              <w:ind w:left="20"/>
              <w:jc w:val="both"/>
            </w:pPr>
            <w:r>
              <w:rPr>
                <w:rFonts w:ascii="Times New Roman"/>
                <w:b w:val="false"/>
                <w:i w:val="false"/>
                <w:color w:val="000000"/>
                <w:sz w:val="20"/>
              </w:rPr>
              <w:t>Азиатским банком развития;</w:t>
            </w:r>
          </w:p>
          <w:p>
            <w:pPr>
              <w:spacing w:after="20"/>
              <w:ind w:left="20"/>
              <w:jc w:val="both"/>
            </w:pPr>
            <w:r>
              <w:rPr>
                <w:rFonts w:ascii="Times New Roman"/>
                <w:b w:val="false"/>
                <w:i w:val="false"/>
                <w:color w:val="000000"/>
                <w:sz w:val="20"/>
              </w:rPr>
              <w:t>Африканским банком развития;</w:t>
            </w:r>
          </w:p>
          <w:p>
            <w:pPr>
              <w:spacing w:after="20"/>
              <w:ind w:left="20"/>
              <w:jc w:val="both"/>
            </w:pPr>
            <w:r>
              <w:rPr>
                <w:rFonts w:ascii="Times New Roman"/>
                <w:b w:val="false"/>
                <w:i w:val="false"/>
                <w:color w:val="000000"/>
                <w:sz w:val="20"/>
              </w:rPr>
              <w:t>Банком международных расчетов;</w:t>
            </w:r>
          </w:p>
          <w:p>
            <w:pPr>
              <w:spacing w:after="20"/>
              <w:ind w:left="20"/>
              <w:jc w:val="both"/>
            </w:pPr>
            <w:r>
              <w:rPr>
                <w:rFonts w:ascii="Times New Roman"/>
                <w:b w:val="false"/>
                <w:i w:val="false"/>
                <w:color w:val="000000"/>
                <w:sz w:val="20"/>
              </w:rPr>
              <w:t>Евразийским банком развития;</w:t>
            </w:r>
          </w:p>
          <w:p>
            <w:pPr>
              <w:spacing w:after="20"/>
              <w:ind w:left="20"/>
              <w:jc w:val="both"/>
            </w:pPr>
            <w:r>
              <w:rPr>
                <w:rFonts w:ascii="Times New Roman"/>
                <w:b w:val="false"/>
                <w:i w:val="false"/>
                <w:color w:val="000000"/>
                <w:sz w:val="20"/>
              </w:rPr>
              <w:t>Европейским инвестиционным банком;</w:t>
            </w:r>
          </w:p>
          <w:p>
            <w:pPr>
              <w:spacing w:after="20"/>
              <w:ind w:left="20"/>
              <w:jc w:val="both"/>
            </w:pPr>
            <w:r>
              <w:rPr>
                <w:rFonts w:ascii="Times New Roman"/>
                <w:b w:val="false"/>
                <w:i w:val="false"/>
                <w:color w:val="000000"/>
                <w:sz w:val="20"/>
              </w:rPr>
              <w:t>Европейским банком реконструкции и развития;</w:t>
            </w:r>
          </w:p>
          <w:p>
            <w:pPr>
              <w:spacing w:after="20"/>
              <w:ind w:left="20"/>
              <w:jc w:val="both"/>
            </w:pPr>
            <w:r>
              <w:rPr>
                <w:rFonts w:ascii="Times New Roman"/>
                <w:b w:val="false"/>
                <w:i w:val="false"/>
                <w:color w:val="000000"/>
                <w:sz w:val="20"/>
              </w:rPr>
              <w:t>Исламским банком развития;</w:t>
            </w:r>
          </w:p>
          <w:p>
            <w:pPr>
              <w:spacing w:after="20"/>
              <w:ind w:left="20"/>
              <w:jc w:val="both"/>
            </w:pPr>
            <w:r>
              <w:rPr>
                <w:rFonts w:ascii="Times New Roman"/>
                <w:b w:val="false"/>
                <w:i w:val="false"/>
                <w:color w:val="000000"/>
                <w:sz w:val="20"/>
              </w:rPr>
              <w:t>Межамериканским банком развития;</w:t>
            </w:r>
          </w:p>
          <w:p>
            <w:pPr>
              <w:spacing w:after="20"/>
              <w:ind w:left="20"/>
              <w:jc w:val="both"/>
            </w:pPr>
            <w:r>
              <w:rPr>
                <w:rFonts w:ascii="Times New Roman"/>
                <w:b w:val="false"/>
                <w:i w:val="false"/>
                <w:color w:val="000000"/>
                <w:sz w:val="20"/>
              </w:rPr>
              <w:t>Международным банком реконструкции и развития;</w:t>
            </w:r>
          </w:p>
          <w:p>
            <w:pPr>
              <w:spacing w:after="20"/>
              <w:ind w:left="20"/>
              <w:jc w:val="both"/>
            </w:pPr>
            <w:r>
              <w:rPr>
                <w:rFonts w:ascii="Times New Roman"/>
                <w:b w:val="false"/>
                <w:i w:val="false"/>
                <w:color w:val="000000"/>
                <w:sz w:val="20"/>
              </w:rPr>
              <w:t>Международной финансовой корпорацией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выпущенный центральными правительствами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стран,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(Лондон биллион маркет асоциэйшн) и обозначенным в документах данной ассоциации как стандарт "Лондонская качественная поставка" ("London good delivery") ("Лондон гуд деливери") и металлические депозиты, в том числе, в банках-нерезидентах Республики Казахстан, обладающих рейтинговой оценкой не ниже "А-" по международной шкале агентства Standard &amp; Poor's (Стандард энд Пурс) или рейтинг аналогичного уровня одного из других рейтинговых агентств, на срок не более двенадцати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заключенные в целях хеджирования, базовым активом которых являются финансовые инструменты, разрешенные к приобретению за счет активов фондов недвижимости в соответствии с настоящим Перечнем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юридическом лице, осуществляющем обслуживание имущества, входящего в состав фонда недвижимости</w:t>
            </w:r>
          </w:p>
        </w:tc>
      </w:tr>
    </w:tbl>
    <w:bookmarkStart w:name="z135" w:id="108"/>
    <w:p>
      <w:pPr>
        <w:spacing w:after="0"/>
        <w:ind w:left="0"/>
        <w:jc w:val="both"/>
      </w:pPr>
      <w:r>
        <w:rPr>
          <w:rFonts w:ascii="Times New Roman"/>
          <w:b w:val="false"/>
          <w:i w:val="false"/>
          <w:color w:val="000000"/>
          <w:sz w:val="28"/>
        </w:rPr>
        <w:t>
      3. Перечень финансовых инструментов, в которые управляющая компания инвестирует находящиеся в инвестиционном управлении активы каждого отдельного биржевого паевого инвестиционного фонда (Exchange Traded Fund) (ETF) (Эксчейндж Трэйдэд Фандс), и требования, предъявляемые к ним:</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KASE (Kazakhstan Stock Exchange) (Казахстан Сток Эксчейндж)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KZGB (Kazakhstan Government Bonds) (Казахстан Гавемент Бондс)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KASE_BM (Kazakhstan Stock Exchange Bond Market) (Казахстан Сток Эксчейндж Бонд Маркет)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TONIA (Tenge OverNight Index Average) (Тенге ОверНайт Индекс Эвередж)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международных фондовых бирж:</w:t>
            </w:r>
          </w:p>
          <w:p>
            <w:pPr>
              <w:spacing w:after="20"/>
              <w:ind w:left="20"/>
              <w:jc w:val="both"/>
            </w:pPr>
            <w:r>
              <w:rPr>
                <w:rFonts w:ascii="Times New Roman"/>
                <w:b w:val="false"/>
                <w:i w:val="false"/>
                <w:color w:val="000000"/>
                <w:sz w:val="20"/>
              </w:rPr>
              <w:t>САС 40 (Compagnie des Agents de Change 40 Index) (Компани дэ Эжон дэ Шанж 40 Индекс);</w:t>
            </w:r>
          </w:p>
          <w:p>
            <w:pPr>
              <w:spacing w:after="20"/>
              <w:ind w:left="20"/>
              <w:jc w:val="both"/>
            </w:pPr>
            <w:r>
              <w:rPr>
                <w:rFonts w:ascii="Times New Roman"/>
                <w:b w:val="false"/>
                <w:i w:val="false"/>
                <w:color w:val="000000"/>
                <w:sz w:val="20"/>
              </w:rPr>
              <w:t>DAX (Deutscher Aktienindex) (Дойтче Акциениндекс);</w:t>
            </w:r>
          </w:p>
          <w:p>
            <w:pPr>
              <w:spacing w:after="20"/>
              <w:ind w:left="20"/>
              <w:jc w:val="both"/>
            </w:pPr>
            <w:r>
              <w:rPr>
                <w:rFonts w:ascii="Times New Roman"/>
                <w:b w:val="false"/>
                <w:i w:val="false"/>
                <w:color w:val="000000"/>
                <w:sz w:val="20"/>
              </w:rPr>
              <w:t>DJIA (Dow Jones Industrial Average) (Доу Джонс Индастриал Эвередж);</w:t>
            </w:r>
          </w:p>
          <w:p>
            <w:pPr>
              <w:spacing w:after="20"/>
              <w:ind w:left="20"/>
              <w:jc w:val="both"/>
            </w:pPr>
            <w:r>
              <w:rPr>
                <w:rFonts w:ascii="Times New Roman"/>
                <w:b w:val="false"/>
                <w:i w:val="false"/>
                <w:color w:val="000000"/>
                <w:sz w:val="20"/>
              </w:rPr>
              <w:t>EURO STOXX 50 (EURO STOXX 50 Price Index) (Юроп Эс Ти Оу Экс Экс 50 Прайс Индекс);</w:t>
            </w:r>
          </w:p>
          <w:p>
            <w:pPr>
              <w:spacing w:after="20"/>
              <w:ind w:left="20"/>
              <w:jc w:val="both"/>
            </w:pPr>
            <w:r>
              <w:rPr>
                <w:rFonts w:ascii="Times New Roman"/>
                <w:b w:val="false"/>
                <w:i w:val="false"/>
                <w:color w:val="000000"/>
                <w:sz w:val="20"/>
              </w:rPr>
              <w:t>FTSE 100 (Financial Times Stock Exchange 100 Index) (Файнэншл Таймс Сток Эксчейндж 100 Индекс);</w:t>
            </w:r>
          </w:p>
          <w:p>
            <w:pPr>
              <w:spacing w:after="20"/>
              <w:ind w:left="20"/>
              <w:jc w:val="both"/>
            </w:pPr>
            <w:r>
              <w:rPr>
                <w:rFonts w:ascii="Times New Roman"/>
                <w:b w:val="false"/>
                <w:i w:val="false"/>
                <w:color w:val="000000"/>
                <w:sz w:val="20"/>
              </w:rPr>
              <w:t>HSI (Hang Seng Index) (Ханг Сенг Индекс);</w:t>
            </w:r>
          </w:p>
          <w:p>
            <w:pPr>
              <w:spacing w:after="20"/>
              <w:ind w:left="20"/>
              <w:jc w:val="both"/>
            </w:pPr>
            <w:r>
              <w:rPr>
                <w:rFonts w:ascii="Times New Roman"/>
                <w:b w:val="false"/>
                <w:i w:val="false"/>
                <w:color w:val="000000"/>
                <w:sz w:val="20"/>
              </w:rPr>
              <w:t>MSCI World Index (Morgan Stanley Capital International World Index) (Морган Стэнли Кэпитал Интернешнл Ворлд Индекс);</w:t>
            </w:r>
          </w:p>
          <w:p>
            <w:pPr>
              <w:spacing w:after="20"/>
              <w:ind w:left="20"/>
              <w:jc w:val="both"/>
            </w:pPr>
            <w:r>
              <w:rPr>
                <w:rFonts w:ascii="Times New Roman"/>
                <w:b w:val="false"/>
                <w:i w:val="false"/>
                <w:color w:val="000000"/>
                <w:sz w:val="20"/>
              </w:rPr>
              <w:t>MOEX Russia (Moscow Exchange Russia Index) (Москоу Эксчейндж Раша Индекс);</w:t>
            </w:r>
          </w:p>
          <w:p>
            <w:pPr>
              <w:spacing w:after="20"/>
              <w:ind w:left="20"/>
              <w:jc w:val="both"/>
            </w:pPr>
            <w:r>
              <w:rPr>
                <w:rFonts w:ascii="Times New Roman"/>
                <w:b w:val="false"/>
                <w:i w:val="false"/>
                <w:color w:val="000000"/>
                <w:sz w:val="20"/>
              </w:rPr>
              <w:t>NIKKEI 225 (Nikkei-225 Stock Average Index) (Никкэй-225 Сток Эвередж Индекс);</w:t>
            </w:r>
          </w:p>
          <w:p>
            <w:pPr>
              <w:spacing w:after="20"/>
              <w:ind w:left="20"/>
              <w:jc w:val="both"/>
            </w:pPr>
            <w:r>
              <w:rPr>
                <w:rFonts w:ascii="Times New Roman"/>
                <w:b w:val="false"/>
                <w:i w:val="false"/>
                <w:color w:val="000000"/>
                <w:sz w:val="20"/>
              </w:rPr>
              <w:t>RTSI (Russian Trade System Index) (Рашен Трейд Систем Индекс);</w:t>
            </w:r>
          </w:p>
          <w:p>
            <w:pPr>
              <w:spacing w:after="20"/>
              <w:ind w:left="20"/>
              <w:jc w:val="both"/>
            </w:pPr>
            <w:r>
              <w:rPr>
                <w:rFonts w:ascii="Times New Roman"/>
                <w:b w:val="false"/>
                <w:i w:val="false"/>
                <w:color w:val="000000"/>
                <w:sz w:val="20"/>
              </w:rPr>
              <w:t>S&amp;P 500 (Standard and Poor's 500 Index) (Стандард энд Пурс 500 Индекс);</w:t>
            </w:r>
          </w:p>
          <w:p>
            <w:pPr>
              <w:spacing w:after="20"/>
              <w:ind w:left="20"/>
              <w:jc w:val="both"/>
            </w:pPr>
            <w:r>
              <w:rPr>
                <w:rFonts w:ascii="Times New Roman"/>
                <w:b w:val="false"/>
                <w:i w:val="false"/>
                <w:color w:val="000000"/>
                <w:sz w:val="20"/>
              </w:rPr>
              <w:t>TOPIX 100 (Tokyo Stock Price 100 Index) (Токио Сток Прайс 100 Индекс);</w:t>
            </w:r>
          </w:p>
          <w:p>
            <w:pPr>
              <w:spacing w:after="20"/>
              <w:ind w:left="20"/>
              <w:jc w:val="both"/>
            </w:pPr>
            <w:r>
              <w:rPr>
                <w:rFonts w:ascii="Times New Roman"/>
                <w:b w:val="false"/>
                <w:i w:val="false"/>
                <w:color w:val="000000"/>
                <w:sz w:val="20"/>
              </w:rPr>
              <w:t>NASDAQ-100 (Nasdaq-100 Index) (Насдак-100 Индекс)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рынка ценных</w:t>
            </w:r>
            <w:r>
              <w:br/>
            </w:r>
            <w:r>
              <w:rPr>
                <w:rFonts w:ascii="Times New Roman"/>
                <w:b w:val="false"/>
                <w:i w:val="false"/>
                <w:color w:val="000000"/>
                <w:sz w:val="20"/>
              </w:rPr>
              <w:t>бумаг,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 объявленных</w:t>
            </w:r>
            <w:r>
              <w:br/>
            </w:r>
            <w:r>
              <w:rPr>
                <w:rFonts w:ascii="Times New Roman"/>
                <w:b w:val="false"/>
                <w:i w:val="false"/>
                <w:color w:val="000000"/>
                <w:sz w:val="20"/>
              </w:rPr>
              <w:t>акций, регистрации изменений</w:t>
            </w:r>
            <w:r>
              <w:br/>
            </w:r>
            <w:r>
              <w:rPr>
                <w:rFonts w:ascii="Times New Roman"/>
                <w:b w:val="false"/>
                <w:i w:val="false"/>
                <w:color w:val="000000"/>
                <w:sz w:val="20"/>
              </w:rPr>
              <w:t>и (или) дополнений в проспект</w:t>
            </w:r>
            <w:r>
              <w:br/>
            </w:r>
            <w:r>
              <w:rPr>
                <w:rFonts w:ascii="Times New Roman"/>
                <w:b w:val="false"/>
                <w:i w:val="false"/>
                <w:color w:val="000000"/>
                <w:sz w:val="20"/>
              </w:rPr>
              <w:t>выпуска акций, утверждения</w:t>
            </w:r>
            <w:r>
              <w:br/>
            </w:r>
            <w:r>
              <w:rPr>
                <w:rFonts w:ascii="Times New Roman"/>
                <w:b w:val="false"/>
                <w:i w:val="false"/>
                <w:color w:val="000000"/>
                <w:sz w:val="20"/>
              </w:rPr>
              <w:t>отчета об итогах размещения</w:t>
            </w:r>
            <w:r>
              <w:br/>
            </w:r>
            <w:r>
              <w:rPr>
                <w:rFonts w:ascii="Times New Roman"/>
                <w:b w:val="false"/>
                <w:i w:val="false"/>
                <w:color w:val="000000"/>
                <w:sz w:val="20"/>
              </w:rPr>
              <w:t>акций акционерного общества,</w:t>
            </w:r>
            <w:r>
              <w:br/>
            </w:r>
            <w:r>
              <w:rPr>
                <w:rFonts w:ascii="Times New Roman"/>
                <w:b w:val="false"/>
                <w:i w:val="false"/>
                <w:color w:val="000000"/>
                <w:sz w:val="20"/>
              </w:rPr>
              <w:t>отчета об обмене размещенных</w:t>
            </w:r>
            <w:r>
              <w:br/>
            </w:r>
            <w:r>
              <w:rPr>
                <w:rFonts w:ascii="Times New Roman"/>
                <w:b w:val="false"/>
                <w:i w:val="false"/>
                <w:color w:val="000000"/>
                <w:sz w:val="20"/>
              </w:rPr>
              <w:t>акций акционерного общества</w:t>
            </w:r>
            <w:r>
              <w:br/>
            </w:r>
            <w:r>
              <w:rPr>
                <w:rFonts w:ascii="Times New Roman"/>
                <w:b w:val="false"/>
                <w:i w:val="false"/>
                <w:color w:val="000000"/>
                <w:sz w:val="20"/>
              </w:rPr>
              <w:t>одного вида на акции данного</w:t>
            </w:r>
            <w:r>
              <w:br/>
            </w:r>
            <w:r>
              <w:rPr>
                <w:rFonts w:ascii="Times New Roman"/>
                <w:b w:val="false"/>
                <w:i w:val="false"/>
                <w:color w:val="000000"/>
                <w:sz w:val="20"/>
              </w:rPr>
              <w:t>акционерного общества</w:t>
            </w:r>
            <w:r>
              <w:br/>
            </w:r>
            <w:r>
              <w:rPr>
                <w:rFonts w:ascii="Times New Roman"/>
                <w:b w:val="false"/>
                <w:i w:val="false"/>
                <w:color w:val="000000"/>
                <w:sz w:val="20"/>
              </w:rPr>
              <w:t>другого вида, аннулирования</w:t>
            </w:r>
            <w:r>
              <w:br/>
            </w:r>
            <w:r>
              <w:rPr>
                <w:rFonts w:ascii="Times New Roman"/>
                <w:b w:val="false"/>
                <w:i w:val="false"/>
                <w:color w:val="000000"/>
                <w:sz w:val="20"/>
              </w:rPr>
              <w:t>выпуска объявленных акций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 w:id="109"/>
    <w:p>
      <w:pPr>
        <w:spacing w:after="0"/>
        <w:ind w:left="0"/>
        <w:jc w:val="left"/>
      </w:pPr>
      <w:r>
        <w:rPr>
          <w:rFonts w:ascii="Times New Roman"/>
          <w:b/>
          <w:i w:val="false"/>
          <w:color w:val="000000"/>
        </w:rPr>
        <w:t xml:space="preserve"> Свидетельство об аннулировании выпуска объявленных акций</w:t>
      </w:r>
    </w:p>
    <w:bookmarkEnd w:id="10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bl>
    <w:p>
      <w:pPr>
        <w:spacing w:after="0"/>
        <w:ind w:left="0"/>
        <w:jc w:val="both"/>
      </w:pPr>
      <w:bookmarkStart w:name="z140" w:id="110"/>
      <w:r>
        <w:rPr>
          <w:rFonts w:ascii="Times New Roman"/>
          <w:b w:val="false"/>
          <w:i w:val="false"/>
          <w:color w:val="000000"/>
          <w:sz w:val="28"/>
        </w:rPr>
        <w:t>
      Уполномоченный орган (полное наименование уполномоченного органа)</w:t>
      </w:r>
    </w:p>
    <w:bookmarkEnd w:id="110"/>
    <w:p>
      <w:pPr>
        <w:spacing w:after="0"/>
        <w:ind w:left="0"/>
        <w:jc w:val="both"/>
      </w:pPr>
      <w:r>
        <w:rPr>
          <w:rFonts w:ascii="Times New Roman"/>
          <w:b w:val="false"/>
          <w:i w:val="false"/>
          <w:color w:val="000000"/>
          <w:sz w:val="28"/>
        </w:rPr>
        <w:t>аннулировал выпуск объявленных акций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(полное наименование и место нахождения акционерного общества)</w:t>
      </w:r>
    </w:p>
    <w:p>
      <w:pPr>
        <w:spacing w:after="0"/>
        <w:ind w:left="0"/>
        <w:jc w:val="both"/>
      </w:pPr>
      <w:r>
        <w:rPr>
          <w:rFonts w:ascii="Times New Roman"/>
          <w:b w:val="false"/>
          <w:i w:val="false"/>
          <w:color w:val="000000"/>
          <w:sz w:val="28"/>
        </w:rPr>
        <w:t>зарегистрированного _____________________________________________</w:t>
      </w:r>
    </w:p>
    <w:p>
      <w:pPr>
        <w:spacing w:after="0"/>
        <w:ind w:left="0"/>
        <w:jc w:val="both"/>
      </w:pPr>
      <w:r>
        <w:rPr>
          <w:rFonts w:ascii="Times New Roman"/>
          <w:b w:val="false"/>
          <w:i w:val="false"/>
          <w:color w:val="000000"/>
          <w:sz w:val="28"/>
        </w:rPr>
        <w:t>(дата государственной регистрации (перерегистрации)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акционерного общества, наименование регистрирующего органа,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(при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Международный идентификационный номер (код ISIN), присвоенный</w:t>
      </w:r>
    </w:p>
    <w:p>
      <w:pPr>
        <w:spacing w:after="0"/>
        <w:ind w:left="0"/>
        <w:jc w:val="both"/>
      </w:pPr>
      <w:r>
        <w:rPr>
          <w:rFonts w:ascii="Times New Roman"/>
          <w:b w:val="false"/>
          <w:i w:val="false"/>
          <w:color w:val="000000"/>
          <w:sz w:val="28"/>
        </w:rPr>
        <w:t>акциям выпуска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Выпуск разделен на</w:t>
      </w:r>
    </w:p>
    <w:p>
      <w:pPr>
        <w:spacing w:after="0"/>
        <w:ind w:left="0"/>
        <w:jc w:val="both"/>
      </w:pPr>
      <w:r>
        <w:rPr>
          <w:rFonts w:ascii="Times New Roman"/>
          <w:b w:val="false"/>
          <w:i w:val="false"/>
          <w:color w:val="000000"/>
          <w:sz w:val="28"/>
        </w:rPr>
        <w:t>__________________________________________________________ акций.</w:t>
      </w:r>
    </w:p>
    <w:p>
      <w:pPr>
        <w:spacing w:after="0"/>
        <w:ind w:left="0"/>
        <w:jc w:val="both"/>
      </w:pPr>
      <w:r>
        <w:rPr>
          <w:rFonts w:ascii="Times New Roman"/>
          <w:b w:val="false"/>
          <w:i w:val="false"/>
          <w:color w:val="000000"/>
          <w:sz w:val="28"/>
        </w:rPr>
        <w:t>(количество акций цифрами и прописью, вид акций)</w:t>
      </w:r>
    </w:p>
    <w:p>
      <w:pPr>
        <w:spacing w:after="0"/>
        <w:ind w:left="0"/>
        <w:jc w:val="both"/>
      </w:pPr>
      <w:r>
        <w:rPr>
          <w:rFonts w:ascii="Times New Roman"/>
          <w:b w:val="false"/>
          <w:i w:val="false"/>
          <w:color w:val="000000"/>
          <w:sz w:val="28"/>
        </w:rPr>
        <w:t>Выпуск акций аннулирован в связи 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(причина аннулирования)</w:t>
      </w:r>
    </w:p>
    <w:p>
      <w:pPr>
        <w:spacing w:after="0"/>
        <w:ind w:left="0"/>
        <w:jc w:val="both"/>
      </w:pPr>
      <w:r>
        <w:rPr>
          <w:rFonts w:ascii="Times New Roman"/>
          <w:b w:val="false"/>
          <w:i w:val="false"/>
          <w:color w:val="000000"/>
          <w:sz w:val="28"/>
        </w:rPr>
        <w:t>Уполномоченное лицо ____________________ ________________________</w:t>
      </w:r>
    </w:p>
    <w:p>
      <w:pPr>
        <w:spacing w:after="0"/>
        <w:ind w:left="0"/>
        <w:jc w:val="both"/>
      </w:pPr>
      <w:r>
        <w:rPr>
          <w:rFonts w:ascii="Times New Roman"/>
          <w:b w:val="false"/>
          <w:i w:val="false"/>
          <w:color w:val="000000"/>
          <w:sz w:val="28"/>
        </w:rPr>
        <w:t>(электронная цифровая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рынка ценных</w:t>
            </w:r>
            <w:r>
              <w:br/>
            </w:r>
            <w:r>
              <w:rPr>
                <w:rFonts w:ascii="Times New Roman"/>
                <w:b w:val="false"/>
                <w:i w:val="false"/>
                <w:color w:val="000000"/>
                <w:sz w:val="20"/>
              </w:rPr>
              <w:t>бумаг,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 паев</w:t>
            </w:r>
            <w:r>
              <w:br/>
            </w:r>
            <w:r>
              <w:rPr>
                <w:rFonts w:ascii="Times New Roman"/>
                <w:b w:val="false"/>
                <w:i w:val="false"/>
                <w:color w:val="000000"/>
                <w:sz w:val="20"/>
              </w:rPr>
              <w:t>паевого инвестиционного фонда</w:t>
            </w:r>
          </w:p>
        </w:tc>
      </w:tr>
    </w:tbl>
    <w:bookmarkStart w:name="z143" w:id="111"/>
    <w:p>
      <w:pPr>
        <w:spacing w:after="0"/>
        <w:ind w:left="0"/>
        <w:jc w:val="left"/>
      </w:pPr>
      <w:r>
        <w:rPr>
          <w:rFonts w:ascii="Times New Roman"/>
          <w:b/>
          <w:i w:val="false"/>
          <w:color w:val="000000"/>
        </w:rPr>
        <w:t xml:space="preserve"> Структура правил паевого инвестиционного фонда</w:t>
      </w:r>
    </w:p>
    <w:bookmarkEnd w:id="111"/>
    <w:bookmarkStart w:name="z144" w:id="112"/>
    <w:p>
      <w:pPr>
        <w:spacing w:after="0"/>
        <w:ind w:left="0"/>
        <w:jc w:val="both"/>
      </w:pPr>
      <w:r>
        <w:rPr>
          <w:rFonts w:ascii="Times New Roman"/>
          <w:b w:val="false"/>
          <w:i w:val="false"/>
          <w:color w:val="000000"/>
          <w:sz w:val="28"/>
        </w:rPr>
        <w:t>
      1. Правила паевого инвестиционного фонда содержат:</w:t>
      </w:r>
    </w:p>
    <w:bookmarkEnd w:id="112"/>
    <w:bookmarkStart w:name="z145" w:id="113"/>
    <w:p>
      <w:pPr>
        <w:spacing w:after="0"/>
        <w:ind w:left="0"/>
        <w:jc w:val="both"/>
      </w:pPr>
      <w:r>
        <w:rPr>
          <w:rFonts w:ascii="Times New Roman"/>
          <w:b w:val="false"/>
          <w:i w:val="false"/>
          <w:color w:val="000000"/>
          <w:sz w:val="28"/>
        </w:rPr>
        <w:t>
      1) полное и сокращенное наименование паевого инвестиционного фонда;</w:t>
      </w:r>
    </w:p>
    <w:bookmarkEnd w:id="113"/>
    <w:bookmarkStart w:name="z146" w:id="114"/>
    <w:p>
      <w:pPr>
        <w:spacing w:after="0"/>
        <w:ind w:left="0"/>
        <w:jc w:val="both"/>
      </w:pPr>
      <w:r>
        <w:rPr>
          <w:rFonts w:ascii="Times New Roman"/>
          <w:b w:val="false"/>
          <w:i w:val="false"/>
          <w:color w:val="000000"/>
          <w:sz w:val="28"/>
        </w:rPr>
        <w:t>
      2) полное наименование и местонахождение управляющей компании паевого инвестиционного фонда;</w:t>
      </w:r>
    </w:p>
    <w:bookmarkEnd w:id="114"/>
    <w:bookmarkStart w:name="z147" w:id="115"/>
    <w:p>
      <w:pPr>
        <w:spacing w:after="0"/>
        <w:ind w:left="0"/>
        <w:jc w:val="both"/>
      </w:pPr>
      <w:r>
        <w:rPr>
          <w:rFonts w:ascii="Times New Roman"/>
          <w:b w:val="false"/>
          <w:i w:val="false"/>
          <w:color w:val="000000"/>
          <w:sz w:val="28"/>
        </w:rPr>
        <w:t>
      3) полное наименование и местонахождение кастодиана паевого инвестиционного фонда, его права и обязанности;</w:t>
      </w:r>
    </w:p>
    <w:bookmarkEnd w:id="115"/>
    <w:bookmarkStart w:name="z148" w:id="116"/>
    <w:p>
      <w:pPr>
        <w:spacing w:after="0"/>
        <w:ind w:left="0"/>
        <w:jc w:val="both"/>
      </w:pPr>
      <w:r>
        <w:rPr>
          <w:rFonts w:ascii="Times New Roman"/>
          <w:b w:val="false"/>
          <w:i w:val="false"/>
          <w:color w:val="000000"/>
          <w:sz w:val="28"/>
        </w:rPr>
        <w:t>
      4) полное наименование аудиторских организаций, осуществляющих аудит управляющей компании и кастодиана паевого инвестиционного фонда;</w:t>
      </w:r>
    </w:p>
    <w:bookmarkEnd w:id="116"/>
    <w:bookmarkStart w:name="z149" w:id="117"/>
    <w:p>
      <w:pPr>
        <w:spacing w:after="0"/>
        <w:ind w:left="0"/>
        <w:jc w:val="both"/>
      </w:pPr>
      <w:r>
        <w:rPr>
          <w:rFonts w:ascii="Times New Roman"/>
          <w:b w:val="false"/>
          <w:i w:val="false"/>
          <w:color w:val="000000"/>
          <w:sz w:val="28"/>
        </w:rPr>
        <w:t>
      5) инвестиционную декларацию;</w:t>
      </w:r>
    </w:p>
    <w:bookmarkEnd w:id="117"/>
    <w:bookmarkStart w:name="z150" w:id="118"/>
    <w:p>
      <w:pPr>
        <w:spacing w:after="0"/>
        <w:ind w:left="0"/>
        <w:jc w:val="both"/>
      </w:pPr>
      <w:r>
        <w:rPr>
          <w:rFonts w:ascii="Times New Roman"/>
          <w:b w:val="false"/>
          <w:i w:val="false"/>
          <w:color w:val="000000"/>
          <w:sz w:val="28"/>
        </w:rPr>
        <w:t>
      6) порядок и сроки приведения активов паевого инвестиционного фонда в соответствии с требованиями инвестиционной декларации;</w:t>
      </w:r>
    </w:p>
    <w:bookmarkEnd w:id="118"/>
    <w:bookmarkStart w:name="z151" w:id="119"/>
    <w:p>
      <w:pPr>
        <w:spacing w:after="0"/>
        <w:ind w:left="0"/>
        <w:jc w:val="both"/>
      </w:pPr>
      <w:r>
        <w:rPr>
          <w:rFonts w:ascii="Times New Roman"/>
          <w:b w:val="false"/>
          <w:i w:val="false"/>
          <w:color w:val="000000"/>
          <w:sz w:val="28"/>
        </w:rPr>
        <w:t>
      7) срок, в течение которого будет функционировать паевой инвестиционный фонд, либо указание о его бессрочном функционировании;</w:t>
      </w:r>
    </w:p>
    <w:bookmarkEnd w:id="119"/>
    <w:bookmarkStart w:name="z152" w:id="120"/>
    <w:p>
      <w:pPr>
        <w:spacing w:after="0"/>
        <w:ind w:left="0"/>
        <w:jc w:val="both"/>
      </w:pPr>
      <w:r>
        <w:rPr>
          <w:rFonts w:ascii="Times New Roman"/>
          <w:b w:val="false"/>
          <w:i w:val="false"/>
          <w:color w:val="000000"/>
          <w:sz w:val="28"/>
        </w:rPr>
        <w:t>
      8) договор доверительного управления активами паевого инвестиционного фонда;</w:t>
      </w:r>
    </w:p>
    <w:bookmarkEnd w:id="120"/>
    <w:bookmarkStart w:name="z153" w:id="121"/>
    <w:p>
      <w:pPr>
        <w:spacing w:after="0"/>
        <w:ind w:left="0"/>
        <w:jc w:val="both"/>
      </w:pPr>
      <w:r>
        <w:rPr>
          <w:rFonts w:ascii="Times New Roman"/>
          <w:b w:val="false"/>
          <w:i w:val="false"/>
          <w:color w:val="000000"/>
          <w:sz w:val="28"/>
        </w:rPr>
        <w:t>
      9) описание рисков инвесторов при инвестировании в паи паевого инвестиционного фонда;</w:t>
      </w:r>
    </w:p>
    <w:bookmarkEnd w:id="121"/>
    <w:bookmarkStart w:name="z154" w:id="122"/>
    <w:p>
      <w:pPr>
        <w:spacing w:after="0"/>
        <w:ind w:left="0"/>
        <w:jc w:val="both"/>
      </w:pPr>
      <w:r>
        <w:rPr>
          <w:rFonts w:ascii="Times New Roman"/>
          <w:b w:val="false"/>
          <w:i w:val="false"/>
          <w:color w:val="000000"/>
          <w:sz w:val="28"/>
        </w:rPr>
        <w:t>
      10) права и обязанности управляющей компании паевого инвестиционного фонда;</w:t>
      </w:r>
    </w:p>
    <w:bookmarkEnd w:id="122"/>
    <w:bookmarkStart w:name="z155" w:id="123"/>
    <w:p>
      <w:pPr>
        <w:spacing w:after="0"/>
        <w:ind w:left="0"/>
        <w:jc w:val="both"/>
      </w:pPr>
      <w:r>
        <w:rPr>
          <w:rFonts w:ascii="Times New Roman"/>
          <w:b w:val="false"/>
          <w:i w:val="false"/>
          <w:color w:val="000000"/>
          <w:sz w:val="28"/>
        </w:rPr>
        <w:t>
      11) номинальную стоимость пая паевого инвестиционного фонда в период первоначального размещения, которая выражается в национальной валюте Республики Казахстан или иной валюте, в которой выражена номинальная стоимость пая;</w:t>
      </w:r>
    </w:p>
    <w:bookmarkEnd w:id="123"/>
    <w:bookmarkStart w:name="z156" w:id="124"/>
    <w:p>
      <w:pPr>
        <w:spacing w:after="0"/>
        <w:ind w:left="0"/>
        <w:jc w:val="both"/>
      </w:pPr>
      <w:r>
        <w:rPr>
          <w:rFonts w:ascii="Times New Roman"/>
          <w:b w:val="false"/>
          <w:i w:val="false"/>
          <w:color w:val="000000"/>
          <w:sz w:val="28"/>
        </w:rPr>
        <w:t>
      12) условия и порядок подачи и исполнения заявок на приобретение паев паевого инвестиционного фонда;</w:t>
      </w:r>
    </w:p>
    <w:bookmarkEnd w:id="124"/>
    <w:bookmarkStart w:name="z157" w:id="125"/>
    <w:p>
      <w:pPr>
        <w:spacing w:after="0"/>
        <w:ind w:left="0"/>
        <w:jc w:val="both"/>
      </w:pPr>
      <w:r>
        <w:rPr>
          <w:rFonts w:ascii="Times New Roman"/>
          <w:b w:val="false"/>
          <w:i w:val="false"/>
          <w:color w:val="000000"/>
          <w:sz w:val="28"/>
        </w:rPr>
        <w:t>
      13) права и обязанности держателей паев паевого инвестиционного фонда;</w:t>
      </w:r>
    </w:p>
    <w:bookmarkEnd w:id="125"/>
    <w:bookmarkStart w:name="z158" w:id="126"/>
    <w:p>
      <w:pPr>
        <w:spacing w:after="0"/>
        <w:ind w:left="0"/>
        <w:jc w:val="both"/>
      </w:pPr>
      <w:r>
        <w:rPr>
          <w:rFonts w:ascii="Times New Roman"/>
          <w:b w:val="false"/>
          <w:i w:val="false"/>
          <w:color w:val="000000"/>
          <w:sz w:val="28"/>
        </w:rPr>
        <w:t>
      14) порядок учета и определения стоимости активов паевого инвестиционного фонда и расчетной стоимости пая;</w:t>
      </w:r>
    </w:p>
    <w:bookmarkEnd w:id="126"/>
    <w:bookmarkStart w:name="z159" w:id="127"/>
    <w:p>
      <w:pPr>
        <w:spacing w:after="0"/>
        <w:ind w:left="0"/>
        <w:jc w:val="both"/>
      </w:pPr>
      <w:r>
        <w:rPr>
          <w:rFonts w:ascii="Times New Roman"/>
          <w:b w:val="false"/>
          <w:i w:val="false"/>
          <w:color w:val="000000"/>
          <w:sz w:val="28"/>
        </w:rPr>
        <w:t>
      15) условия применения и порядок расчета надбавок к расчетной стоимости паев при их размещении;</w:t>
      </w:r>
    </w:p>
    <w:bookmarkEnd w:id="127"/>
    <w:bookmarkStart w:name="z160" w:id="128"/>
    <w:p>
      <w:pPr>
        <w:spacing w:after="0"/>
        <w:ind w:left="0"/>
        <w:jc w:val="both"/>
      </w:pPr>
      <w:r>
        <w:rPr>
          <w:rFonts w:ascii="Times New Roman"/>
          <w:b w:val="false"/>
          <w:i w:val="false"/>
          <w:color w:val="000000"/>
          <w:sz w:val="28"/>
        </w:rPr>
        <w:t>
      16) виды, порядок определения и максимальные размеры расходов и вознаграждений управляющей компании, и иных лиц, обеспечивающих функционирование паевого инвестиционного фонда, которые подлежат оплате за счет активов данного фонда;</w:t>
      </w:r>
    </w:p>
    <w:bookmarkEnd w:id="128"/>
    <w:bookmarkStart w:name="z161" w:id="129"/>
    <w:p>
      <w:pPr>
        <w:spacing w:after="0"/>
        <w:ind w:left="0"/>
        <w:jc w:val="both"/>
      </w:pPr>
      <w:r>
        <w:rPr>
          <w:rFonts w:ascii="Times New Roman"/>
          <w:b w:val="false"/>
          <w:i w:val="false"/>
          <w:color w:val="000000"/>
          <w:sz w:val="28"/>
        </w:rPr>
        <w:t>
      17) условия и порядок смены управляющей компании или кастодиана в случаях невозможности или отказа от осуществления ими дальнейшей деятельности по обеспечению существования паевого инвестиционного фонда;</w:t>
      </w:r>
    </w:p>
    <w:bookmarkEnd w:id="129"/>
    <w:bookmarkStart w:name="z162" w:id="130"/>
    <w:p>
      <w:pPr>
        <w:spacing w:after="0"/>
        <w:ind w:left="0"/>
        <w:jc w:val="both"/>
      </w:pPr>
      <w:r>
        <w:rPr>
          <w:rFonts w:ascii="Times New Roman"/>
          <w:b w:val="false"/>
          <w:i w:val="false"/>
          <w:color w:val="000000"/>
          <w:sz w:val="28"/>
        </w:rPr>
        <w:t>
      18) условия и порядок приостановления размещения паев паевого инвестиционного фонда;</w:t>
      </w:r>
    </w:p>
    <w:bookmarkEnd w:id="130"/>
    <w:bookmarkStart w:name="z163" w:id="131"/>
    <w:p>
      <w:pPr>
        <w:spacing w:after="0"/>
        <w:ind w:left="0"/>
        <w:jc w:val="both"/>
      </w:pPr>
      <w:r>
        <w:rPr>
          <w:rFonts w:ascii="Times New Roman"/>
          <w:b w:val="false"/>
          <w:i w:val="false"/>
          <w:color w:val="000000"/>
          <w:sz w:val="28"/>
        </w:rPr>
        <w:t>
      19) условия и порядок прекращения существования паевого инвестиционного фонда, в том числе выкупа паев при прекращении существования фонда, с указанием наименования печатного издания, в котором публикуется информация о прекращении существования паевого инвестиционного фонда;</w:t>
      </w:r>
    </w:p>
    <w:bookmarkEnd w:id="131"/>
    <w:bookmarkStart w:name="z164" w:id="132"/>
    <w:p>
      <w:pPr>
        <w:spacing w:after="0"/>
        <w:ind w:left="0"/>
        <w:jc w:val="both"/>
      </w:pPr>
      <w:r>
        <w:rPr>
          <w:rFonts w:ascii="Times New Roman"/>
          <w:b w:val="false"/>
          <w:i w:val="false"/>
          <w:color w:val="000000"/>
          <w:sz w:val="28"/>
        </w:rPr>
        <w:t>
      20) условия и порядок предоставления отчетов по запросам держателей паев;</w:t>
      </w:r>
    </w:p>
    <w:bookmarkEnd w:id="132"/>
    <w:bookmarkStart w:name="z165" w:id="133"/>
    <w:p>
      <w:pPr>
        <w:spacing w:after="0"/>
        <w:ind w:left="0"/>
        <w:jc w:val="both"/>
      </w:pPr>
      <w:r>
        <w:rPr>
          <w:rFonts w:ascii="Times New Roman"/>
          <w:b w:val="false"/>
          <w:i w:val="false"/>
          <w:color w:val="000000"/>
          <w:sz w:val="28"/>
        </w:rPr>
        <w:t>
      21) условия и порядок раскрытия информации перед держателями паев о паевом инвестиционном фонде, его правилах и изменениях в них, изменении стоимости чистых активов фонда и расчетной стоимости пая, ценах размещения и выкупа пая, а также о лицах, обеспечивающих существование паевого инвестиционного фонда, результатах их деятельности;</w:t>
      </w:r>
    </w:p>
    <w:bookmarkEnd w:id="133"/>
    <w:bookmarkStart w:name="z166" w:id="134"/>
    <w:p>
      <w:pPr>
        <w:spacing w:after="0"/>
        <w:ind w:left="0"/>
        <w:jc w:val="both"/>
      </w:pPr>
      <w:r>
        <w:rPr>
          <w:rFonts w:ascii="Times New Roman"/>
          <w:b w:val="false"/>
          <w:i w:val="false"/>
          <w:color w:val="000000"/>
          <w:sz w:val="28"/>
        </w:rPr>
        <w:t>
      22) перечень представителей управляющей компании по размещению и выкупу паев паевого инвестиционного фонда (при их наличии) с указанием номеров контактных телефонов, местонахождения.</w:t>
      </w:r>
    </w:p>
    <w:bookmarkEnd w:id="134"/>
    <w:bookmarkStart w:name="z167" w:id="135"/>
    <w:p>
      <w:pPr>
        <w:spacing w:after="0"/>
        <w:ind w:left="0"/>
        <w:jc w:val="both"/>
      </w:pPr>
      <w:r>
        <w:rPr>
          <w:rFonts w:ascii="Times New Roman"/>
          <w:b w:val="false"/>
          <w:i w:val="false"/>
          <w:color w:val="000000"/>
          <w:sz w:val="28"/>
        </w:rPr>
        <w:t>
      2. Правила открытого или интервального паевого инвестиционного фонда, помимо сведений, предусмотренных пунктом 1 Структуры правил паевого инвестиционного фонда (далее – Структура правил), содержат:</w:t>
      </w:r>
    </w:p>
    <w:bookmarkEnd w:id="135"/>
    <w:bookmarkStart w:name="z168" w:id="136"/>
    <w:p>
      <w:pPr>
        <w:spacing w:after="0"/>
        <w:ind w:left="0"/>
        <w:jc w:val="both"/>
      </w:pPr>
      <w:r>
        <w:rPr>
          <w:rFonts w:ascii="Times New Roman"/>
          <w:b w:val="false"/>
          <w:i w:val="false"/>
          <w:color w:val="000000"/>
          <w:sz w:val="28"/>
        </w:rPr>
        <w:t>
      1) условия и порядок подачи и исполнения заявки на выкуп пая;</w:t>
      </w:r>
    </w:p>
    <w:bookmarkEnd w:id="136"/>
    <w:bookmarkStart w:name="z169" w:id="137"/>
    <w:p>
      <w:pPr>
        <w:spacing w:after="0"/>
        <w:ind w:left="0"/>
        <w:jc w:val="both"/>
      </w:pPr>
      <w:r>
        <w:rPr>
          <w:rFonts w:ascii="Times New Roman"/>
          <w:b w:val="false"/>
          <w:i w:val="false"/>
          <w:color w:val="000000"/>
          <w:sz w:val="28"/>
        </w:rPr>
        <w:t>
      2) условия и порядок приостановления выкупа паев;</w:t>
      </w:r>
    </w:p>
    <w:bookmarkEnd w:id="137"/>
    <w:bookmarkStart w:name="z170" w:id="138"/>
    <w:p>
      <w:pPr>
        <w:spacing w:after="0"/>
        <w:ind w:left="0"/>
        <w:jc w:val="both"/>
      </w:pPr>
      <w:r>
        <w:rPr>
          <w:rFonts w:ascii="Times New Roman"/>
          <w:b w:val="false"/>
          <w:i w:val="false"/>
          <w:color w:val="000000"/>
          <w:sz w:val="28"/>
        </w:rPr>
        <w:t>
      3) условия применения и порядок расчета скидки с расчетной стоимости пая при его выкупе управляющей компанией;</w:t>
      </w:r>
    </w:p>
    <w:bookmarkEnd w:id="138"/>
    <w:bookmarkStart w:name="z171" w:id="139"/>
    <w:p>
      <w:pPr>
        <w:spacing w:after="0"/>
        <w:ind w:left="0"/>
        <w:jc w:val="both"/>
      </w:pPr>
      <w:r>
        <w:rPr>
          <w:rFonts w:ascii="Times New Roman"/>
          <w:b w:val="false"/>
          <w:i w:val="false"/>
          <w:color w:val="000000"/>
          <w:sz w:val="28"/>
        </w:rPr>
        <w:t>
      4) условия и порядок внесения управляющей компанией изменений и дополнений в правила паевого инвестиционного фонда;</w:t>
      </w:r>
    </w:p>
    <w:bookmarkEnd w:id="139"/>
    <w:bookmarkStart w:name="z172" w:id="140"/>
    <w:p>
      <w:pPr>
        <w:spacing w:after="0"/>
        <w:ind w:left="0"/>
        <w:jc w:val="both"/>
      </w:pPr>
      <w:r>
        <w:rPr>
          <w:rFonts w:ascii="Times New Roman"/>
          <w:b w:val="false"/>
          <w:i w:val="false"/>
          <w:color w:val="000000"/>
          <w:sz w:val="28"/>
        </w:rPr>
        <w:t>
      5) условия обмена паев по заказу их держателей на паи другого открытого или интервального паевого инвестиционного фонда, находящегося в доверительном управлении той же управляющей компании, условия и порядок проведения процедуры обмена паев управляющей компанией и кастодианом фонда, а также центральным депозитарием;</w:t>
      </w:r>
    </w:p>
    <w:bookmarkEnd w:id="140"/>
    <w:bookmarkStart w:name="z173" w:id="141"/>
    <w:p>
      <w:pPr>
        <w:spacing w:after="0"/>
        <w:ind w:left="0"/>
        <w:jc w:val="both"/>
      </w:pPr>
      <w:r>
        <w:rPr>
          <w:rFonts w:ascii="Times New Roman"/>
          <w:b w:val="false"/>
          <w:i w:val="false"/>
          <w:color w:val="000000"/>
          <w:sz w:val="28"/>
        </w:rPr>
        <w:t xml:space="preserve">
      6) сведения о средствах массовой информации, в которых будет публиковаться информация о паевом инвестиционном фонде,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инвестиционных и венчурных фондах" и правилами паевого инвестиционного фонда.</w:t>
      </w:r>
    </w:p>
    <w:bookmarkEnd w:id="141"/>
    <w:bookmarkStart w:name="z174" w:id="142"/>
    <w:p>
      <w:pPr>
        <w:spacing w:after="0"/>
        <w:ind w:left="0"/>
        <w:jc w:val="both"/>
      </w:pPr>
      <w:r>
        <w:rPr>
          <w:rFonts w:ascii="Times New Roman"/>
          <w:b w:val="false"/>
          <w:i w:val="false"/>
          <w:color w:val="000000"/>
          <w:sz w:val="28"/>
        </w:rPr>
        <w:t>
      3. Правила закрытых паевых инвестиционных фондов, помимо сведений, предусмотренных пунктом 1 Структуры правил, содержат:</w:t>
      </w:r>
    </w:p>
    <w:bookmarkEnd w:id="142"/>
    <w:bookmarkStart w:name="z175" w:id="143"/>
    <w:p>
      <w:pPr>
        <w:spacing w:after="0"/>
        <w:ind w:left="0"/>
        <w:jc w:val="both"/>
      </w:pPr>
      <w:r>
        <w:rPr>
          <w:rFonts w:ascii="Times New Roman"/>
          <w:b w:val="false"/>
          <w:i w:val="false"/>
          <w:color w:val="000000"/>
          <w:sz w:val="28"/>
        </w:rPr>
        <w:t>
      1) условия и порядок начисления, выплаты дивидендов по паям;</w:t>
      </w:r>
    </w:p>
    <w:bookmarkEnd w:id="143"/>
    <w:bookmarkStart w:name="z176" w:id="144"/>
    <w:p>
      <w:pPr>
        <w:spacing w:after="0"/>
        <w:ind w:left="0"/>
        <w:jc w:val="both"/>
      </w:pPr>
      <w:r>
        <w:rPr>
          <w:rFonts w:ascii="Times New Roman"/>
          <w:b w:val="false"/>
          <w:i w:val="false"/>
          <w:color w:val="000000"/>
          <w:sz w:val="28"/>
        </w:rPr>
        <w:t>
      2) условия, сроки и порядок созыва и проведения общего собрания держателей паев паевого инвестиционного фонда, порядок определения повестки дня, кворума общего собрания, представительства на общем собрании, порядок голосования, подсчета голосов, оформления протокола общего собрания.</w:t>
      </w:r>
    </w:p>
    <w:bookmarkEnd w:id="144"/>
    <w:bookmarkStart w:name="z177" w:id="145"/>
    <w:p>
      <w:pPr>
        <w:spacing w:after="0"/>
        <w:ind w:left="0"/>
        <w:jc w:val="both"/>
      </w:pPr>
      <w:r>
        <w:rPr>
          <w:rFonts w:ascii="Times New Roman"/>
          <w:b w:val="false"/>
          <w:i w:val="false"/>
          <w:color w:val="000000"/>
          <w:sz w:val="28"/>
        </w:rPr>
        <w:t>
      4. Правила биржевых паевых инвестиционных фондов (Exchange Traded Fund) (ETF) (Эксчейндж Трэйдэд Фандс), помимо сведений, предусмотренных пунктом 1 Структуры правил, содержат:</w:t>
      </w:r>
    </w:p>
    <w:bookmarkEnd w:id="145"/>
    <w:bookmarkStart w:name="z178" w:id="146"/>
    <w:p>
      <w:pPr>
        <w:spacing w:after="0"/>
        <w:ind w:left="0"/>
        <w:jc w:val="both"/>
      </w:pPr>
      <w:r>
        <w:rPr>
          <w:rFonts w:ascii="Times New Roman"/>
          <w:b w:val="false"/>
          <w:i w:val="false"/>
          <w:color w:val="000000"/>
          <w:sz w:val="28"/>
        </w:rPr>
        <w:t>
      1) полное наименование и местонахождение фондовой биржи биржевого паевого инвестиционного фонда (Exchange Traded Fund) (ETF) (Эксчейндж Трэйдэд Фандс);</w:t>
      </w:r>
    </w:p>
    <w:bookmarkEnd w:id="146"/>
    <w:bookmarkStart w:name="z179" w:id="147"/>
    <w:p>
      <w:pPr>
        <w:spacing w:after="0"/>
        <w:ind w:left="0"/>
        <w:jc w:val="both"/>
      </w:pPr>
      <w:r>
        <w:rPr>
          <w:rFonts w:ascii="Times New Roman"/>
          <w:b w:val="false"/>
          <w:i w:val="false"/>
          <w:color w:val="000000"/>
          <w:sz w:val="28"/>
        </w:rPr>
        <w:t>
      2) полное наименование и местонахождение маркет-мейкера биржевого паевого инвестиционного фонда (Exchange Traded Fund) (ETF) (Эксчейндж Трэйдэд Фандс), его права и обязанности;</w:t>
      </w:r>
    </w:p>
    <w:bookmarkEnd w:id="147"/>
    <w:bookmarkStart w:name="z180" w:id="148"/>
    <w:p>
      <w:pPr>
        <w:spacing w:after="0"/>
        <w:ind w:left="0"/>
        <w:jc w:val="both"/>
      </w:pPr>
      <w:r>
        <w:rPr>
          <w:rFonts w:ascii="Times New Roman"/>
          <w:b w:val="false"/>
          <w:i w:val="false"/>
          <w:color w:val="000000"/>
          <w:sz w:val="28"/>
        </w:rPr>
        <w:t>
      3) порядок заключения сделок с паями биржевого паевого инвестиционного фонда (Exchange Traded Fund) (ETF) (Эксчейндж Трэйдэд Фандс) в торговой системе фондовой биржи;</w:t>
      </w:r>
    </w:p>
    <w:bookmarkEnd w:id="148"/>
    <w:bookmarkStart w:name="z181" w:id="149"/>
    <w:p>
      <w:pPr>
        <w:spacing w:after="0"/>
        <w:ind w:left="0"/>
        <w:jc w:val="both"/>
      </w:pPr>
      <w:r>
        <w:rPr>
          <w:rFonts w:ascii="Times New Roman"/>
          <w:b w:val="false"/>
          <w:i w:val="false"/>
          <w:color w:val="000000"/>
          <w:sz w:val="28"/>
        </w:rPr>
        <w:t>
      4) порядок определения величины максимального отклонения цены покупки (продажи) паев, публично объявляемой маркет-мейкером биржевого паевого инвестиционного фонда (Exchange Traded Fund) (ETF) (Эксчейндж Трэйдэд Фандс) на организованных торгах, проводимых фондовой биржей, от расчетной цены одного пая.</w:t>
      </w:r>
    </w:p>
    <w:bookmarkEnd w:id="149"/>
    <w:bookmarkStart w:name="z182" w:id="150"/>
    <w:p>
      <w:pPr>
        <w:spacing w:after="0"/>
        <w:ind w:left="0"/>
        <w:jc w:val="both"/>
      </w:pPr>
      <w:r>
        <w:rPr>
          <w:rFonts w:ascii="Times New Roman"/>
          <w:b w:val="false"/>
          <w:i w:val="false"/>
          <w:color w:val="000000"/>
          <w:sz w:val="28"/>
        </w:rPr>
        <w:t>
      Сведения, предусмотренные подпунктом 2) пункта 4 Структуры правил, в том числе должны предусматривать положения об объеме сделок с паями на проводимых фондовой биржей организованных торгах, совершаемых маркет-мейкером биржевого паевого инвестиционного фонда (Exchange Traded Fund) (ETF) (Эксчейндж Трэйдэд Фандс) в течение торгового дня, по достижении которого его обязанность маркет-мейкера в этот день прекращается, а также о периоде исполнения в течение торгового дня обязанности маркет-мейкера.</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