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ace3" w14:textId="a6fa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7 декабря 2023 года № 116. Зарегистрирован в Министерстве юстиции Республики Казахстан 12 декабря 2023 года № 33765.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12-1) следующего содержания:</w:t>
      </w:r>
    </w:p>
    <w:bookmarkStart w:name="z8" w:id="3"/>
    <w:p>
      <w:pPr>
        <w:spacing w:after="0"/>
        <w:ind w:left="0"/>
        <w:jc w:val="both"/>
      </w:pPr>
      <w:r>
        <w:rPr>
          <w:rFonts w:ascii="Times New Roman"/>
          <w:b w:val="false"/>
          <w:i w:val="false"/>
          <w:color w:val="000000"/>
          <w:sz w:val="28"/>
        </w:rPr>
        <w:t>
      "12-1) уникальный номер объекта (далее - УНО) – идентификационный восемнадцатизначный номер, формируемый в системе государственного градостроительного кадастра для сбора информации (сведений) об объекте строительства от получения исходных материалов на разработку проектов строительства, реконструкцию (перепланировку и переоборудование) до приемки в эксплуатацию, с целью мониторинга объекта;";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Самовольное строительство объектов различного назначения на территории населенных пунктов не допускается.";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"27. Выдача технических условий на подключение к проектируемым инженерным сетям не допускается, за исключением магистральных и распределительных сетей газопровода "Сарыарка".</w:t>
      </w:r>
    </w:p>
    <w:bookmarkEnd w:id="5"/>
    <w:bookmarkStart w:name="z13" w:id="6"/>
    <w:p>
      <w:pPr>
        <w:spacing w:after="0"/>
        <w:ind w:left="0"/>
        <w:jc w:val="both"/>
      </w:pPr>
      <w:r>
        <w:rPr>
          <w:rFonts w:ascii="Times New Roman"/>
          <w:b w:val="false"/>
          <w:i w:val="false"/>
          <w:color w:val="000000"/>
          <w:sz w:val="28"/>
        </w:rPr>
        <w:t>
      28.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6"/>
    <w:bookmarkStart w:name="z14" w:id="7"/>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7"/>
    <w:bookmarkStart w:name="z15" w:id="8"/>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8"/>
    <w:bookmarkStart w:name="z16" w:id="9"/>
    <w:p>
      <w:pPr>
        <w:spacing w:after="0"/>
        <w:ind w:left="0"/>
        <w:jc w:val="both"/>
      </w:pPr>
      <w:r>
        <w:rPr>
          <w:rFonts w:ascii="Times New Roman"/>
          <w:b w:val="false"/>
          <w:i w:val="false"/>
          <w:color w:val="000000"/>
          <w:sz w:val="28"/>
        </w:rPr>
        <w:t>
      Решение МИО на реконструкцию (перепланировку, переоборудование) действует до введения объекта в эксплуатацию.";</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"31. По проектам реконструкции (переоборудования, перепланировки), за исключением случаев, когда не затрагиваются несущие и ограждающие (наружные) конструкции, инженерные системы и оборудование, разрабатывается проектная (проектно-сметная) документация, которая подлежит обязательной экспертизе.</w:t>
      </w:r>
    </w:p>
    <w:bookmarkEnd w:id="10"/>
    <w:bookmarkStart w:name="z19" w:id="11"/>
    <w:p>
      <w:pPr>
        <w:spacing w:after="0"/>
        <w:ind w:left="0"/>
        <w:jc w:val="both"/>
      </w:pPr>
      <w:r>
        <w:rPr>
          <w:rFonts w:ascii="Times New Roman"/>
          <w:b w:val="false"/>
          <w:i w:val="false"/>
          <w:color w:val="000000"/>
          <w:sz w:val="28"/>
        </w:rPr>
        <w:t>
      В указанных случаях строительно-монтажные работы по реализации проекта осуществляются только после получения положительного заключения экспертизы.</w:t>
      </w:r>
    </w:p>
    <w:bookmarkEnd w:id="11"/>
    <w:bookmarkStart w:name="z20" w:id="12"/>
    <w:p>
      <w:pPr>
        <w:spacing w:after="0"/>
        <w:ind w:left="0"/>
        <w:jc w:val="both"/>
      </w:pPr>
      <w:r>
        <w:rPr>
          <w:rFonts w:ascii="Times New Roman"/>
          <w:b w:val="false"/>
          <w:i w:val="false"/>
          <w:color w:val="000000"/>
          <w:sz w:val="28"/>
        </w:rPr>
        <w:t>
      Перед разработкой проектной (проектно-сметной) документации заказчик с привлечением аттестованных экспертов осуществляет техническое обследование физического состояния, надежности и устойчивости конструкций существующего помещения, здания или сооружения.";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"39.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услугодатель в срок не более 1 (одного) рабочего дня со дня получения представленных документов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13"/>
    <w:bookmarkStart w:name="z23" w:id="14"/>
    <w:p>
      <w:pPr>
        <w:spacing w:after="0"/>
        <w:ind w:left="0"/>
        <w:jc w:val="both"/>
      </w:pPr>
      <w:r>
        <w:rPr>
          <w:rFonts w:ascii="Times New Roman"/>
          <w:b w:val="false"/>
          <w:i w:val="false"/>
          <w:color w:val="000000"/>
          <w:sz w:val="28"/>
        </w:rPr>
        <w:t>
      Услугодатель параллельно подготавливает следующие документы:</w:t>
      </w:r>
    </w:p>
    <w:bookmarkEnd w:id="14"/>
    <w:bookmarkStart w:name="z24" w:id="15"/>
    <w:p>
      <w:pPr>
        <w:spacing w:after="0"/>
        <w:ind w:left="0"/>
        <w:jc w:val="both"/>
      </w:pPr>
      <w:r>
        <w:rPr>
          <w:rFonts w:ascii="Times New Roman"/>
          <w:b w:val="false"/>
          <w:i w:val="false"/>
          <w:color w:val="000000"/>
          <w:sz w:val="28"/>
        </w:rPr>
        <w:t>
      по пакету 1 – выкопировку из проекта детальной планировки, вертикальные планировочные отметки, поперечные профили дорог и улиц;</w:t>
      </w:r>
    </w:p>
    <w:bookmarkEnd w:id="15"/>
    <w:bookmarkStart w:name="z25" w:id="16"/>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16"/>
    <w:bookmarkStart w:name="z26" w:id="17"/>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вышеуказанных документов подготавливают и направляют услугодателю технические условия с предварительной схемой трасс наружных инженерных сетей в срок:</w:t>
      </w:r>
    </w:p>
    <w:bookmarkEnd w:id="17"/>
    <w:bookmarkStart w:name="z27" w:id="18"/>
    <w:p>
      <w:pPr>
        <w:spacing w:after="0"/>
        <w:ind w:left="0"/>
        <w:jc w:val="both"/>
      </w:pPr>
      <w:r>
        <w:rPr>
          <w:rFonts w:ascii="Times New Roman"/>
          <w:b w:val="false"/>
          <w:i w:val="false"/>
          <w:color w:val="000000"/>
          <w:sz w:val="28"/>
        </w:rPr>
        <w:t>
      5 (пяти) рабочих дней для технически и (или) технологически несложных объектов;</w:t>
      </w:r>
    </w:p>
    <w:bookmarkEnd w:id="18"/>
    <w:bookmarkStart w:name="z28" w:id="19"/>
    <w:p>
      <w:pPr>
        <w:spacing w:after="0"/>
        <w:ind w:left="0"/>
        <w:jc w:val="both"/>
      </w:pPr>
      <w:r>
        <w:rPr>
          <w:rFonts w:ascii="Times New Roman"/>
          <w:b w:val="false"/>
          <w:i w:val="false"/>
          <w:color w:val="000000"/>
          <w:sz w:val="28"/>
        </w:rPr>
        <w:t xml:space="preserve">
      10 (десяти) рабочих дней для технически и (или) технологически сложных объектов; </w:t>
      </w:r>
    </w:p>
    <w:bookmarkEnd w:id="19"/>
    <w:bookmarkStart w:name="z29" w:id="20"/>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20"/>
    <w:bookmarkStart w:name="z30" w:id="21"/>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21"/>
    <w:bookmarkStart w:name="z31" w:id="22"/>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22"/>
    <w:bookmarkStart w:name="z32" w:id="23"/>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23"/>
    <w:bookmarkStart w:name="z33" w:id="24"/>
    <w:p>
      <w:pPr>
        <w:spacing w:after="0"/>
        <w:ind w:left="0"/>
        <w:jc w:val="both"/>
      </w:pPr>
      <w:r>
        <w:rPr>
          <w:rFonts w:ascii="Times New Roman"/>
          <w:b w:val="false"/>
          <w:i w:val="false"/>
          <w:color w:val="000000"/>
          <w:sz w:val="28"/>
        </w:rPr>
        <w:t>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"42. Срок оказания государственной услуги 1 по проектам строительства технически и (или) технологически несложных объектов:</w:t>
      </w:r>
    </w:p>
    <w:bookmarkEnd w:id="25"/>
    <w:bookmarkStart w:name="z36" w:id="26"/>
    <w:p>
      <w:pPr>
        <w:spacing w:after="0"/>
        <w:ind w:left="0"/>
        <w:jc w:val="both"/>
      </w:pPr>
      <w:r>
        <w:rPr>
          <w:rFonts w:ascii="Times New Roman"/>
          <w:b w:val="false"/>
          <w:i w:val="false"/>
          <w:color w:val="000000"/>
          <w:sz w:val="28"/>
        </w:rPr>
        <w:t>
      на предоставление АПЗ и технических условий – 9 (девять) рабочих дней;</w:t>
      </w:r>
    </w:p>
    <w:bookmarkEnd w:id="26"/>
    <w:bookmarkStart w:name="z37" w:id="27"/>
    <w:p>
      <w:pPr>
        <w:spacing w:after="0"/>
        <w:ind w:left="0"/>
        <w:jc w:val="both"/>
      </w:pPr>
      <w:r>
        <w:rPr>
          <w:rFonts w:ascii="Times New Roman"/>
          <w:b w:val="false"/>
          <w:i w:val="false"/>
          <w:color w:val="000000"/>
          <w:sz w:val="28"/>
        </w:rPr>
        <w:t>
      на предоставление исходных материалов на новое строительство – 15 (пятнадцать) рабочих дней.</w:t>
      </w:r>
    </w:p>
    <w:bookmarkEnd w:id="27"/>
    <w:bookmarkStart w:name="z38" w:id="28"/>
    <w:p>
      <w:pPr>
        <w:spacing w:after="0"/>
        <w:ind w:left="0"/>
        <w:jc w:val="both"/>
      </w:pPr>
      <w:r>
        <w:rPr>
          <w:rFonts w:ascii="Times New Roman"/>
          <w:b w:val="false"/>
          <w:i w:val="false"/>
          <w:color w:val="000000"/>
          <w:sz w:val="28"/>
        </w:rPr>
        <w:t>
      Срок оказания государственной услуги 1 по проектам строительства технически и (или) технологически сложных объектов:</w:t>
      </w:r>
    </w:p>
    <w:bookmarkEnd w:id="28"/>
    <w:bookmarkStart w:name="z39" w:id="29"/>
    <w:p>
      <w:pPr>
        <w:spacing w:after="0"/>
        <w:ind w:left="0"/>
        <w:jc w:val="both"/>
      </w:pPr>
      <w:r>
        <w:rPr>
          <w:rFonts w:ascii="Times New Roman"/>
          <w:b w:val="false"/>
          <w:i w:val="false"/>
          <w:color w:val="000000"/>
          <w:sz w:val="28"/>
        </w:rPr>
        <w:t>
      на предоставление АПЗ и технических условий – 15 (пятнадцать) рабочих дней;</w:t>
      </w:r>
    </w:p>
    <w:bookmarkEnd w:id="29"/>
    <w:bookmarkStart w:name="z40" w:id="30"/>
    <w:p>
      <w:pPr>
        <w:spacing w:after="0"/>
        <w:ind w:left="0"/>
        <w:jc w:val="both"/>
      </w:pPr>
      <w:r>
        <w:rPr>
          <w:rFonts w:ascii="Times New Roman"/>
          <w:b w:val="false"/>
          <w:i w:val="false"/>
          <w:color w:val="000000"/>
          <w:sz w:val="28"/>
        </w:rPr>
        <w:t>
      на предоставление исходных материалов на новое строительство – 17 (семнадцать) рабочих дней.</w:t>
      </w:r>
    </w:p>
    <w:bookmarkEnd w:id="30"/>
    <w:bookmarkStart w:name="z41" w:id="31"/>
    <w:p>
      <w:pPr>
        <w:spacing w:after="0"/>
        <w:ind w:left="0"/>
        <w:jc w:val="both"/>
      </w:pPr>
      <w:r>
        <w:rPr>
          <w:rFonts w:ascii="Times New Roman"/>
          <w:b w:val="false"/>
          <w:i w:val="false"/>
          <w:color w:val="000000"/>
          <w:sz w:val="28"/>
        </w:rPr>
        <w:t>
      Срок оказания государственной услуги 1 по предоставлению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bookmarkEnd w:id="31"/>
    <w:bookmarkStart w:name="z42" w:id="32"/>
    <w:p>
      <w:pPr>
        <w:spacing w:after="0"/>
        <w:ind w:left="0"/>
        <w:jc w:val="both"/>
      </w:pPr>
      <w:r>
        <w:rPr>
          <w:rFonts w:ascii="Times New Roman"/>
          <w:b w:val="false"/>
          <w:i w:val="false"/>
          <w:color w:val="000000"/>
          <w:sz w:val="28"/>
        </w:rPr>
        <w:t>
      Срок предоставления мотивированного отказа в оказании государственной услуги 1 – 5 (пять) рабочих дней.";</w:t>
      </w:r>
    </w:p>
    <w:bookmarkEnd w:id="32"/>
    <w:bookmarkStart w:name="z43" w:id="33"/>
    <w:p>
      <w:pPr>
        <w:spacing w:after="0"/>
        <w:ind w:left="0"/>
        <w:jc w:val="both"/>
      </w:pPr>
      <w:r>
        <w:rPr>
          <w:rFonts w:ascii="Times New Roman"/>
          <w:b w:val="false"/>
          <w:i w:val="false"/>
          <w:color w:val="000000"/>
          <w:sz w:val="28"/>
        </w:rPr>
        <w:t>
      дополнить пунктом 44-1 следующего содержания:</w:t>
      </w:r>
    </w:p>
    <w:bookmarkEnd w:id="33"/>
    <w:bookmarkStart w:name="z44" w:id="34"/>
    <w:p>
      <w:pPr>
        <w:spacing w:after="0"/>
        <w:ind w:left="0"/>
        <w:jc w:val="both"/>
      </w:pPr>
      <w:r>
        <w:rPr>
          <w:rFonts w:ascii="Times New Roman"/>
          <w:b w:val="false"/>
          <w:i w:val="false"/>
          <w:color w:val="000000"/>
          <w:sz w:val="28"/>
        </w:rPr>
        <w:t xml:space="preserve">
      "44-1.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направляется уполномоченным органом по делам архитектуры, градостроительства и строительства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местные исполнительные органы городов Астана, Алматы и Шымкент, районов и городов областного значения и оператору информационно-коммуникационной инфраструктуры "электронного правительства", осуществляющие прием заявлений и выдачу результатов оказания государственной услуги.";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"53. По итогам рассмотрения документов на оказание государственной услуги 2 в предусмотренные настоящими Правилами сроки, услугодателем подготавливается письмо-согласование с указанием УНО, наименования и месторасположения объекта либо мотивированный отказ.</w:t>
      </w:r>
    </w:p>
    <w:bookmarkEnd w:id="35"/>
    <w:bookmarkStart w:name="z47" w:id="36"/>
    <w:p>
      <w:pPr>
        <w:spacing w:after="0"/>
        <w:ind w:left="0"/>
        <w:jc w:val="both"/>
      </w:pPr>
      <w:r>
        <w:rPr>
          <w:rFonts w:ascii="Times New Roman"/>
          <w:b w:val="false"/>
          <w:i w:val="false"/>
          <w:color w:val="000000"/>
          <w:sz w:val="28"/>
        </w:rPr>
        <w:t>
      Результат государственной услуги 2 направляется услугодателем в "личный кабинет" заявителя в форме электронного документа подписанного ЭЦП услугодателя.";</w:t>
      </w:r>
    </w:p>
    <w:bookmarkEnd w:id="36"/>
    <w:bookmarkStart w:name="z48" w:id="37"/>
    <w:p>
      <w:pPr>
        <w:spacing w:after="0"/>
        <w:ind w:left="0"/>
        <w:jc w:val="both"/>
      </w:pPr>
      <w:r>
        <w:rPr>
          <w:rFonts w:ascii="Times New Roman"/>
          <w:b w:val="false"/>
          <w:i w:val="false"/>
          <w:color w:val="000000"/>
          <w:sz w:val="28"/>
        </w:rPr>
        <w:t>
      дополнить пунктом 57-1 следующего содержания:</w:t>
      </w:r>
    </w:p>
    <w:bookmarkEnd w:id="37"/>
    <w:bookmarkStart w:name="z49" w:id="38"/>
    <w:p>
      <w:pPr>
        <w:spacing w:after="0"/>
        <w:ind w:left="0"/>
        <w:jc w:val="both"/>
      </w:pPr>
      <w:r>
        <w:rPr>
          <w:rFonts w:ascii="Times New Roman"/>
          <w:b w:val="false"/>
          <w:i w:val="false"/>
          <w:color w:val="000000"/>
          <w:sz w:val="28"/>
        </w:rPr>
        <w:t xml:space="preserve">
      "57-1.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направляется уполномоченным органом по делам архитектуры, градостроительства и строительства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местные исполнительные органы городов Астана, Алматы и Шымкент, районов и городов областного значения и оператору информационно-коммуникационной инфраструктуры "электронного правительства", осуществляющие прием заявлений и выдачу результатов оказания государственной услуги.";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xml:space="preserve">
      "78. Полная готовность построенных объектов (комплексов) означает состояние построенных объектов (комплексов), в которых в соответствии с утвержденным проектом установлена входная дверь и оконные блоки (заполнение), завершены внутренние отделочные работы, стены и потолки оштукатурены и выравнены (без внутренних облицовочных, малярных, обойных работ), выполнена стяжка под укладку напольного покрытия (без устройства чистых полов), предусмотрена разводка электрокабелей и проводов, установлены внутриквартирные распределяющие автоматы (без электротехнических приборов бытового назначения, газовых или электрических кухонных плит), проведены водопроводные и канализационные трубы с запорной арматурой и заглушками до места установки приборов (без установки санитарно-технического оборудования и приборов), установлены приборы учета потребления коммунальных услуг (общедомовые и индивидуальные), отопительные приборы и подоконные доски, выполнены работы в объемах превышающих перечисленное, если это предусмотрено договором, а также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отведҰнной под строительство объекта. </w:t>
      </w:r>
    </w:p>
    <w:bookmarkEnd w:id="39"/>
    <w:bookmarkStart w:name="z52" w:id="40"/>
    <w:p>
      <w:pPr>
        <w:spacing w:after="0"/>
        <w:ind w:left="0"/>
        <w:jc w:val="both"/>
      </w:pPr>
      <w:r>
        <w:rPr>
          <w:rFonts w:ascii="Times New Roman"/>
          <w:b w:val="false"/>
          <w:i w:val="false"/>
          <w:color w:val="000000"/>
          <w:sz w:val="28"/>
        </w:rPr>
        <w:t>
      Полная готовность жилых объектов, построенных с участием государственных инвестиций означает состояние построенных объектов,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приборы учета потребления коммунальных услуг (общедомовые и индивидуальные), внутриквартирные дверные блоки,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отведҰнной под строительство объекта.";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xml:space="preserve">
      "79-1. Заказчик до утверждения акта приемки объекта в эксплуатацию направляет исполнительную геодезическую съемку фактического положения инженерных сетей и (или) зданий (сооружений) в государственный градостроительный кадастр для регистрации в информационной системе государственного градостроительного кадастра в соответствии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41"/>
    <w:bookmarkStart w:name="z55" w:id="42"/>
    <w:p>
      <w:pPr>
        <w:spacing w:after="0"/>
        <w:ind w:left="0"/>
        <w:jc w:val="both"/>
      </w:pPr>
      <w:r>
        <w:rPr>
          <w:rFonts w:ascii="Times New Roman"/>
          <w:b w:val="false"/>
          <w:i w:val="false"/>
          <w:color w:val="000000"/>
          <w:sz w:val="28"/>
        </w:rPr>
        <w:t>
      МИО,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(далее - Государственная корпорация) проводят сверку на соблюдение заказчиком процедур, определенных настоящими Правилами, и производят учет акта приемки в эксплуатацию посредством информационной системы государственного градостроительного кадастра.</w:t>
      </w:r>
    </w:p>
    <w:bookmarkEnd w:id="42"/>
    <w:bookmarkStart w:name="z56" w:id="43"/>
    <w:p>
      <w:pPr>
        <w:spacing w:after="0"/>
        <w:ind w:left="0"/>
        <w:jc w:val="both"/>
      </w:pPr>
      <w:r>
        <w:rPr>
          <w:rFonts w:ascii="Times New Roman"/>
          <w:b w:val="false"/>
          <w:i w:val="false"/>
          <w:color w:val="000000"/>
          <w:sz w:val="28"/>
        </w:rPr>
        <w:t>
      Дальнейшее внесение утвержденного акта приемки объекта в эксплуатацию в государственный градостроительный кадастр осуществляется согласно подпункту 2) пункта 81 настоящих Правил.";</w:t>
      </w:r>
    </w:p>
    <w:bookmarkEnd w:id="43"/>
    <w:bookmarkStart w:name="z57" w:id="44"/>
    <w:p>
      <w:pPr>
        <w:spacing w:after="0"/>
        <w:ind w:left="0"/>
        <w:jc w:val="both"/>
      </w:pPr>
      <w:r>
        <w:rPr>
          <w:rFonts w:ascii="Times New Roman"/>
          <w:b w:val="false"/>
          <w:i w:val="false"/>
          <w:color w:val="000000"/>
          <w:sz w:val="28"/>
        </w:rPr>
        <w:t>
      дополнить пунктом 81-1 следующего содержания:</w:t>
      </w:r>
    </w:p>
    <w:bookmarkEnd w:id="44"/>
    <w:bookmarkStart w:name="z58" w:id="45"/>
    <w:p>
      <w:pPr>
        <w:spacing w:after="0"/>
        <w:ind w:left="0"/>
        <w:jc w:val="both"/>
      </w:pPr>
      <w:r>
        <w:rPr>
          <w:rFonts w:ascii="Times New Roman"/>
          <w:b w:val="false"/>
          <w:i w:val="false"/>
          <w:color w:val="000000"/>
          <w:sz w:val="28"/>
        </w:rPr>
        <w:t>
      "81-1. Присвоение УНО осуществляется в автоматическом режиме посредством автоматизированной информационной системы государственного градостроительного кадастра на этапе предоставления государственной услуги 1, государственной услуги 2, приемки объектов строительства в эксплуатацию.";</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60" w:id="46"/>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6"/>
    <w:bookmarkStart w:name="z61" w:id="4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7"/>
    <w:bookmarkStart w:name="z62" w:id="4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8"/>
    <w:bookmarkStart w:name="z63" w:id="4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9"/>
    <w:bookmarkStart w:name="z64" w:id="50"/>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четвертого, сорок второго, сорок третьего и пятьдесят четвертого пункта 1 настоящего приказа, которые вводятся в действие с 1 июля 2024 года.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промышленности и строительства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Респбулики Казахстан</w:t>
            </w:r>
            <w:r>
              <w:br/>
            </w:r>
            <w:r>
              <w:rPr>
                <w:rFonts w:ascii="Times New Roman"/>
                <w:b w:val="false"/>
                <w:i w:val="false"/>
                <w:color w:val="000000"/>
                <w:sz w:val="20"/>
              </w:rPr>
              <w:t>от 7 декабря 2023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"Предоставление исходных материалов при разработке проектов строительства и реконструкции (перепланировки и переоборудования)" </w:t>
            </w:r>
          </w:p>
          <w:bookmarkEnd w:id="51"/>
          <w:p>
            <w:pPr>
              <w:spacing w:after="20"/>
              <w:ind w:left="20"/>
              <w:jc w:val="both"/>
            </w:pPr>
            <w:r>
              <w:rPr>
                <w:rFonts w:ascii="Times New Roman"/>
                <w:b w:val="false"/>
                <w:i w:val="false"/>
                <w:color w:val="000000"/>
                <w:sz w:val="20"/>
              </w:rPr>
              <w:t>
(далее – Перечень)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Наименование подвида государственной услуги:</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исходных материалов для разработки проектов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архитектурно-планировочного задания и технические условия на подключение к источникам инженерного и коммунального обеспечения;</w:t>
            </w:r>
          </w:p>
          <w:p>
            <w:pPr>
              <w:spacing w:after="20"/>
              <w:ind w:left="20"/>
              <w:jc w:val="both"/>
            </w:pPr>
            <w:r>
              <w:rPr>
                <w:rFonts w:ascii="Times New Roman"/>
                <w:b w:val="false"/>
                <w:i w:val="false"/>
                <w:color w:val="000000"/>
                <w:sz w:val="20"/>
              </w:rPr>
              <w:t>
3.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1) для получения исходных материалов на новое строительство:</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несложных объектов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сложных объектов – 17 (семнадцать)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несложных объектов – 9 (девять)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сложных объектов – 15 (пятнадцать) рабочих дней;</w:t>
            </w:r>
          </w:p>
          <w:p>
            <w:pPr>
              <w:spacing w:after="20"/>
              <w:ind w:left="20"/>
              <w:jc w:val="both"/>
            </w:pPr>
            <w:r>
              <w:rPr>
                <w:rFonts w:ascii="Times New Roman"/>
                <w:b w:val="false"/>
                <w:i w:val="false"/>
                <w:color w:val="000000"/>
                <w:sz w:val="20"/>
              </w:rPr>
              <w:t>
3)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 Мотивированный отказ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xml:space="preserve">
 1) по получению исходных материалов на новое строительство (далее – пакет 1):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получению АПЗ и технических условий (далее – пакет 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АПЗ и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55"/>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1) по пакетам 1 и 2:</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получения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57"/>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8"/>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58"/>
          <w:p>
            <w:pPr>
              <w:spacing w:after="20"/>
              <w:ind w:left="20"/>
              <w:jc w:val="both"/>
            </w:pPr>
            <w:r>
              <w:rPr>
                <w:rFonts w:ascii="Times New Roman"/>
                <w:b w:val="false"/>
                <w:i w:val="false"/>
                <w:color w:val="000000"/>
                <w:sz w:val="20"/>
              </w:rPr>
              <w:t xml:space="preserve">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103" w:id="59"/>
    <w:p>
      <w:pPr>
        <w:spacing w:after="0"/>
        <w:ind w:left="0"/>
        <w:jc w:val="left"/>
      </w:pPr>
      <w:r>
        <w:rPr>
          <w:rFonts w:ascii="Times New Roman"/>
          <w:b/>
          <w:i w:val="false"/>
          <w:color w:val="000000"/>
        </w:rPr>
        <w:t xml:space="preserve"> Жобалауға арналған сәулет-жоспарлау тапсырмасы (СЖТ)</w:t>
      </w:r>
    </w:p>
    <w:bookmarkEnd w:id="59"/>
    <w:bookmarkStart w:name="z104" w:id="60"/>
    <w:p>
      <w:pPr>
        <w:spacing w:after="0"/>
        <w:ind w:left="0"/>
        <w:jc w:val="left"/>
      </w:pPr>
      <w:r>
        <w:rPr>
          <w:rFonts w:ascii="Times New Roman"/>
          <w:b/>
          <w:i w:val="false"/>
          <w:color w:val="000000"/>
        </w:rPr>
        <w:t xml:space="preserve"> Архитектурно – планировочное задание на проектирование (АПЗ)</w:t>
      </w:r>
    </w:p>
    <w:bookmarkEnd w:id="60"/>
    <w:p>
      <w:pPr>
        <w:spacing w:after="0"/>
        <w:ind w:left="0"/>
        <w:jc w:val="both"/>
      </w:pPr>
      <w:bookmarkStart w:name="z105" w:id="61"/>
      <w:r>
        <w:rPr>
          <w:rFonts w:ascii="Times New Roman"/>
          <w:b w:val="false"/>
          <w:i w:val="false"/>
          <w:color w:val="000000"/>
          <w:sz w:val="28"/>
        </w:rPr>
        <w:t>
      №_______ от "____"_____________20____ года</w:t>
      </w:r>
    </w:p>
    <w:bookmarkEnd w:id="61"/>
    <w:p>
      <w:pPr>
        <w:spacing w:after="0"/>
        <w:ind w:left="0"/>
        <w:jc w:val="both"/>
      </w:pPr>
      <w:r>
        <w:rPr>
          <w:rFonts w:ascii="Times New Roman"/>
          <w:b w:val="false"/>
          <w:i w:val="false"/>
          <w:color w:val="000000"/>
          <w:sz w:val="28"/>
        </w:rPr>
        <w:t>№_______ 20____ жылғы "____"_____________</w:t>
      </w:r>
    </w:p>
    <w:p>
      <w:pPr>
        <w:spacing w:after="0"/>
        <w:ind w:left="0"/>
        <w:jc w:val="both"/>
      </w:pPr>
      <w:bookmarkStart w:name="z106" w:id="62"/>
      <w:r>
        <w:rPr>
          <w:rFonts w:ascii="Times New Roman"/>
          <w:b w:val="false"/>
          <w:i w:val="false"/>
          <w:color w:val="000000"/>
          <w:sz w:val="28"/>
        </w:rPr>
        <w:t>
      Объектінің бірегей нөмірі: ___________________________________________________</w:t>
      </w:r>
    </w:p>
    <w:bookmarkEnd w:id="62"/>
    <w:p>
      <w:pPr>
        <w:spacing w:after="0"/>
        <w:ind w:left="0"/>
        <w:jc w:val="both"/>
      </w:pPr>
      <w:r>
        <w:rPr>
          <w:rFonts w:ascii="Times New Roman"/>
          <w:b w:val="false"/>
          <w:i w:val="false"/>
          <w:color w:val="000000"/>
          <w:sz w:val="28"/>
        </w:rPr>
        <w:t xml:space="preserve">       Уникальный номер объекта:</w:t>
      </w:r>
    </w:p>
    <w:p>
      <w:pPr>
        <w:spacing w:after="0"/>
        <w:ind w:left="0"/>
        <w:jc w:val="both"/>
      </w:pPr>
      <w:r>
        <w:rPr>
          <w:rFonts w:ascii="Times New Roman"/>
          <w:b w:val="false"/>
          <w:i w:val="false"/>
          <w:color w:val="000000"/>
          <w:sz w:val="28"/>
        </w:rPr>
        <w:t xml:space="preserve">       Объектінің атауы: __________________________________________________________</w:t>
      </w:r>
    </w:p>
    <w:p>
      <w:pPr>
        <w:spacing w:after="0"/>
        <w:ind w:left="0"/>
        <w:jc w:val="both"/>
      </w:pPr>
      <w:r>
        <w:rPr>
          <w:rFonts w:ascii="Times New Roman"/>
          <w:b w:val="false"/>
          <w:i w:val="false"/>
          <w:color w:val="000000"/>
          <w:sz w:val="28"/>
        </w:rPr>
        <w:t xml:space="preserve">       Наименование объекта:</w:t>
      </w:r>
    </w:p>
    <w:p>
      <w:pPr>
        <w:spacing w:after="0"/>
        <w:ind w:left="0"/>
        <w:jc w:val="both"/>
      </w:pPr>
      <w:r>
        <w:rPr>
          <w:rFonts w:ascii="Times New Roman"/>
          <w:b w:val="false"/>
          <w:i w:val="false"/>
          <w:color w:val="000000"/>
          <w:sz w:val="28"/>
        </w:rPr>
        <w:t xml:space="preserve">       Тапсырыс беруші (құрылыс салушы, инвестор): ________________________________</w:t>
      </w:r>
    </w:p>
    <w:p>
      <w:pPr>
        <w:spacing w:after="0"/>
        <w:ind w:left="0"/>
        <w:jc w:val="both"/>
      </w:pPr>
      <w:r>
        <w:rPr>
          <w:rFonts w:ascii="Times New Roman"/>
          <w:b w:val="false"/>
          <w:i w:val="false"/>
          <w:color w:val="000000"/>
          <w:sz w:val="28"/>
        </w:rPr>
        <w:t xml:space="preserve">       Заказчик (застройщик, инвестор):</w:t>
      </w:r>
    </w:p>
    <w:p>
      <w:pPr>
        <w:spacing w:after="0"/>
        <w:ind w:left="0"/>
        <w:jc w:val="both"/>
      </w:pPr>
      <w:r>
        <w:rPr>
          <w:rFonts w:ascii="Times New Roman"/>
          <w:b w:val="false"/>
          <w:i w:val="false"/>
          <w:color w:val="000000"/>
          <w:sz w:val="28"/>
        </w:rPr>
        <w:t xml:space="preserve">       Объектінің мекенжайы ______________________________________________________</w:t>
      </w:r>
    </w:p>
    <w:p>
      <w:pPr>
        <w:spacing w:after="0"/>
        <w:ind w:left="0"/>
        <w:jc w:val="both"/>
      </w:pPr>
      <w:r>
        <w:rPr>
          <w:rFonts w:ascii="Times New Roman"/>
          <w:b w:val="false"/>
          <w:i w:val="false"/>
          <w:color w:val="000000"/>
          <w:sz w:val="28"/>
        </w:rPr>
        <w:t xml:space="preserve">       Адрес объекта</w:t>
      </w:r>
    </w:p>
    <w:p>
      <w:pPr>
        <w:spacing w:after="0"/>
        <w:ind w:left="0"/>
        <w:jc w:val="both"/>
      </w:pPr>
      <w:r>
        <w:rPr>
          <w:rFonts w:ascii="Times New Roman"/>
          <w:b w:val="false"/>
          <w:i w:val="false"/>
          <w:color w:val="000000"/>
          <w:sz w:val="28"/>
        </w:rPr>
        <w:t xml:space="preserve">       Қала (елді мекен), жыл ______________________________________________________</w:t>
      </w:r>
    </w:p>
    <w:p>
      <w:pPr>
        <w:spacing w:after="0"/>
        <w:ind w:left="0"/>
        <w:jc w:val="both"/>
      </w:pPr>
      <w:r>
        <w:rPr>
          <w:rFonts w:ascii="Times New Roman"/>
          <w:b w:val="false"/>
          <w:i w:val="false"/>
          <w:color w:val="000000"/>
          <w:sz w:val="28"/>
        </w:rPr>
        <w:t xml:space="preserve">       Населенный пункт, год</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bookmarkEnd w:id="63"/>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bookmarkEnd w:id="64"/>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орналасқан жері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Планировочная система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Объемно-пространственное решение </w:t>
            </w:r>
          </w:p>
        </w:tc>
        <w:tc>
          <w:tcPr>
            <w:tcW w:w="0" w:type="auto"/>
            <w:vMerge/>
            <w:tcBorders>
              <w:top w:val="nil"/>
            </w:tcBorders>
          </w:tc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tcBorders>
          </w:tcP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Қысқаша сипаттамасы</w:t>
            </w:r>
          </w:p>
          <w:bookmarkEnd w:id="65"/>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tcBorders>
          </w:tc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Қысқаша сипаттамасы</w:t>
            </w:r>
          </w:p>
          <w:bookmarkEnd w:id="66"/>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tcBorders>
          </w:tcP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tcBorders>
          </w:tc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Заңының 21-бабына сәйкес жарнамалық-ақпараттық қондырғыларды көздеу</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в Республике Казахстан"</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жизнедеятельности маломобильных групп населения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tcBorders>
          </w:tc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конструкции </w:t>
            </w: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требованиям нормативных документов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поливочные системы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 При необходимости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переносу существующих подземных и надземных инженерных коммуникаций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 </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tcBorders>
          </w:tcP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Республикасындағы сәулет, қала құрылысы және құрылыс қызметі туралы" Қазақстан Республикасы Занының 64-1-бабына сәйкес).</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статьи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 монтажных работ.</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114" w:id="68"/>
    <w:p>
      <w:pPr>
        <w:spacing w:after="0"/>
        <w:ind w:left="0"/>
        <w:jc w:val="both"/>
      </w:pPr>
      <w:r>
        <w:rPr>
          <w:rFonts w:ascii="Times New Roman"/>
          <w:b w:val="false"/>
          <w:i w:val="false"/>
          <w:color w:val="000000"/>
          <w:sz w:val="28"/>
        </w:rPr>
        <w:t>
      1. Жер учаскесін таңдау актісі негізінде СЖТ берілгенде, СЖТ жер учаскесіне тиісті құқық туындаған кезден бастап күшіне енеді.</w:t>
      </w:r>
    </w:p>
    <w:bookmarkEnd w:id="68"/>
    <w:bookmarkStart w:name="z115" w:id="69"/>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69"/>
    <w:bookmarkStart w:name="z116" w:id="70"/>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70"/>
    <w:bookmarkStart w:name="z117" w:id="71"/>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End w:id="71"/>
    <w:bookmarkStart w:name="z118" w:id="72"/>
    <w:p>
      <w:pPr>
        <w:spacing w:after="0"/>
        <w:ind w:left="0"/>
        <w:jc w:val="both"/>
      </w:pPr>
      <w:r>
        <w:rPr>
          <w:rFonts w:ascii="Times New Roman"/>
          <w:b w:val="false"/>
          <w:i w:val="false"/>
          <w:color w:val="000000"/>
          <w:sz w:val="28"/>
        </w:rPr>
        <w:t>
      При предоставлении АПЗ на основании акта выбора земельного участка, АПЗ вступает в силу с момента возникновения соответствующего права на земельный участок.</w:t>
      </w:r>
    </w:p>
    <w:bookmarkEnd w:id="72"/>
    <w:bookmarkStart w:name="z119" w:id="73"/>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73"/>
    <w:bookmarkStart w:name="z120" w:id="74"/>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74"/>
    <w:bookmarkStart w:name="z121" w:id="75"/>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75"/>
    <w:bookmarkStart w:name="z122" w:id="76"/>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76"/>
    <w:bookmarkStart w:name="z123" w:id="77"/>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77"/>
    <w:bookmarkStart w:name="z124" w:id="78"/>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78"/>
    <w:bookmarkStart w:name="z125" w:id="79"/>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