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42796" w14:textId="dc427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приказы Министра сельского хозяйства Республики Казахстан"</w:t>
      </w:r>
    </w:p>
    <w:p>
      <w:pPr>
        <w:spacing w:after="0"/>
        <w:ind w:left="0"/>
        <w:jc w:val="both"/>
      </w:pPr>
      <w:r>
        <w:rPr>
          <w:rFonts w:ascii="Times New Roman"/>
          <w:b w:val="false"/>
          <w:i w:val="false"/>
          <w:color w:val="000000"/>
          <w:sz w:val="28"/>
        </w:rPr>
        <w:t>Приказ Министра экологии и природных ресурсов Республики Казахстан от 7 декабря 2023 года № 351. Зарегистрирован в Министерстве юстиции Республики Казахстан 12 декабря 2023 года № 33762.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1. Внести в некоторые приказы Министра сельского хозяйства Республики Казахстан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сельского хозяйства Республики Казахстан от 19 декабря 2014 года № 18-04/675 "Об утверждении Правил выдачи разрешений на пользование животным миром" (далее– Правила) (зарегистрирован в Реестре государственной регистрации нормативных правовых актов за № 10168):</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8"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сельского хозяйства Республики Казахстан от 27 февраля 2015 года № 18-04/148 "Об утверждении Правил рыболовства" (зарегистрирован в Реестре государственной регистрации нормативных правовых актов за № 10606):</w:t>
      </w:r>
    </w:p>
    <w:bookmarkEnd w:id="3"/>
    <w:bookmarkStart w:name="z9"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рыболовства, утвержденных указанным приказом:</w:t>
      </w:r>
    </w:p>
    <w:bookmarkEnd w:id="4"/>
    <w:bookmarkStart w:name="z10" w:id="5"/>
    <w:p>
      <w:pPr>
        <w:spacing w:after="0"/>
        <w:ind w:left="0"/>
        <w:jc w:val="both"/>
      </w:pPr>
      <w:r>
        <w:rPr>
          <w:rFonts w:ascii="Times New Roman"/>
          <w:b w:val="false"/>
          <w:i w:val="false"/>
          <w:color w:val="000000"/>
          <w:sz w:val="28"/>
        </w:rPr>
        <w:t>
      дополнить пунктом 47-1 следующего содержания:</w:t>
      </w:r>
    </w:p>
    <w:bookmarkEnd w:id="5"/>
    <w:bookmarkStart w:name="z11" w:id="6"/>
    <w:p>
      <w:pPr>
        <w:spacing w:after="0"/>
        <w:ind w:left="0"/>
        <w:jc w:val="both"/>
      </w:pPr>
      <w:r>
        <w:rPr>
          <w:rFonts w:ascii="Times New Roman"/>
          <w:b w:val="false"/>
          <w:i w:val="false"/>
          <w:color w:val="000000"/>
          <w:sz w:val="28"/>
        </w:rPr>
        <w:t xml:space="preserve">
      "47-1. Лов в воспроизводственных целях для производства рыбопосадочного материала частными рыбопитомниками на рыбохозяйственных водоемах и (или) участках, проводится на основании разрешения на пользование животным миром, выдаваемого местным исполнительным органом на основании Правил выдачи разрешений на пользование животным миром, утвержденных </w:t>
      </w:r>
      <w:r>
        <w:rPr>
          <w:rFonts w:ascii="Times New Roman"/>
          <w:b w:val="false"/>
          <w:i w:val="false"/>
          <w:color w:val="000000"/>
          <w:sz w:val="28"/>
        </w:rPr>
        <w:t>приказом</w:t>
      </w:r>
      <w:r>
        <w:rPr>
          <w:rFonts w:ascii="Times New Roman"/>
          <w:b w:val="false"/>
          <w:i w:val="false"/>
          <w:color w:val="000000"/>
          <w:sz w:val="28"/>
        </w:rPr>
        <w:t xml:space="preserve"> и.о. Министра сельского хозяйства Республики Казахстан от 19 декабря 2014 года № 18-04/675 (зарегистрированный в Реестре государственной регистрации нормативных правовых актов № 10168) в период нереста и размножения рыб, всеми разрешенными к применению промысловыми орудиями лова и способами рыболовства.".</w:t>
      </w:r>
    </w:p>
    <w:bookmarkEnd w:id="6"/>
    <w:bookmarkStart w:name="z12" w:id="7"/>
    <w:p>
      <w:pPr>
        <w:spacing w:after="0"/>
        <w:ind w:left="0"/>
        <w:jc w:val="both"/>
      </w:pPr>
      <w:r>
        <w:rPr>
          <w:rFonts w:ascii="Times New Roman"/>
          <w:b w:val="false"/>
          <w:i w:val="false"/>
          <w:color w:val="000000"/>
          <w:sz w:val="28"/>
        </w:rPr>
        <w:t>
      2. Комитету рыбного хозяйства Министерства экологии и природных ресурсов Республики Казахстан в установленном законодательством порядке обеспечить:</w:t>
      </w:r>
    </w:p>
    <w:bookmarkEnd w:id="7"/>
    <w:bookmarkStart w:name="z13"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4" w:id="9"/>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и природных ресурсов Республики Казахстан после его официального опубликования;</w:t>
      </w:r>
    </w:p>
    <w:bookmarkEnd w:id="9"/>
    <w:bookmarkStart w:name="z15" w:id="1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 предусмотренных подпунктами 1) и 2) настоящего пункта.</w:t>
      </w:r>
    </w:p>
    <w:bookmarkEnd w:id="10"/>
    <w:bookmarkStart w:name="z16" w:id="1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и природных ресурсов Республики Казахстан.</w:t>
      </w:r>
    </w:p>
    <w:bookmarkEnd w:id="11"/>
    <w:bookmarkStart w:name="z17" w:id="12"/>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 и природных ресурсов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bookmarkStart w:name="z19"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 xml:space="preserve">Министерство национальной экономики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экологии и</w:t>
            </w:r>
            <w:r>
              <w:br/>
            </w:r>
            <w:r>
              <w:rPr>
                <w:rFonts w:ascii="Times New Roman"/>
                <w:b w:val="false"/>
                <w:i w:val="false"/>
                <w:color w:val="000000"/>
                <w:sz w:val="20"/>
              </w:rPr>
              <w:t>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2023 года № 351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выдачи</w:t>
            </w:r>
            <w:r>
              <w:br/>
            </w:r>
            <w:r>
              <w:rPr>
                <w:rFonts w:ascii="Times New Roman"/>
                <w:b w:val="false"/>
                <w:i w:val="false"/>
                <w:color w:val="000000"/>
                <w:sz w:val="20"/>
              </w:rPr>
              <w:t>разрешений на пользование</w:t>
            </w:r>
            <w:r>
              <w:br/>
            </w:r>
            <w:r>
              <w:rPr>
                <w:rFonts w:ascii="Times New Roman"/>
                <w:b w:val="false"/>
                <w:i w:val="false"/>
                <w:color w:val="000000"/>
                <w:sz w:val="20"/>
              </w:rPr>
              <w:t>животным миром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разрешений на пользование животным миром"</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1. Охота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Рыболовство (промысловое, любительское (спортивное), научно-исследовательский лов, мелиоративный лов, лов в воспроизводственных целях)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Использование животных в научных, культурно-просветительских, воспитательных, эстетических целях, а также в целях предотвращения эпизоотии</w:t>
            </w:r>
          </w:p>
          <w:p>
            <w:pPr>
              <w:spacing w:after="20"/>
              <w:ind w:left="20"/>
              <w:jc w:val="both"/>
            </w:pPr>
            <w:r>
              <w:rPr>
                <w:rFonts w:ascii="Times New Roman"/>
                <w:b w:val="false"/>
                <w:i w:val="false"/>
                <w:color w:val="000000"/>
                <w:sz w:val="20"/>
              </w:rPr>
              <w:t>
4. Использование видов животных в воспроизводственных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Комитет рыбного хозяйства Министерства экологии и природных ресурсов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По всем подвидам:</w:t>
            </w:r>
          </w:p>
          <w:bookmarkEnd w:id="16"/>
          <w:p>
            <w:pPr>
              <w:spacing w:after="20"/>
              <w:ind w:left="20"/>
              <w:jc w:val="both"/>
            </w:pPr>
            <w:r>
              <w:rPr>
                <w:rFonts w:ascii="Times New Roman"/>
                <w:b w:val="false"/>
                <w:i w:val="false"/>
                <w:color w:val="000000"/>
                <w:sz w:val="20"/>
              </w:rPr>
              <w:t>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
По всем подвидам:</w:t>
            </w:r>
          </w:p>
          <w:bookmarkEnd w:id="17"/>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Разрешения на пользование животным миром выдаются на следующие виды специального пользования животным миром:</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1) охота;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рыболовство (промысловое, любительское (спортивное), научно-исследовательский лов, мелиоративный лов, лов в воспроизводственных целях);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использование животных в научных, культурно-просветительских, воспитательных, эстетических целях, а также в целях предотвращения эпизоотии;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использование видов животных в воспроизводственных целях.</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9"/>
          <w:p>
            <w:pPr>
              <w:spacing w:after="20"/>
              <w:ind w:left="20"/>
              <w:jc w:val="both"/>
            </w:pPr>
            <w:r>
              <w:rPr>
                <w:rFonts w:ascii="Times New Roman"/>
                <w:b w:val="false"/>
                <w:i w:val="false"/>
                <w:color w:val="000000"/>
                <w:sz w:val="20"/>
              </w:rPr>
              <w:t>
По всем подвидам:</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на платной/бесплатной основе.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Плата за пользование животным миром осуществляется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 согласно приложению 5 к настоящим Правилам. Оплата производится в наличной или безналичной форме через банки второго уровня или организации, осуществляющие отдельные виды банковских операций, а также через портал оплата осуществляется через платежный шлюз "электронного правительства" (далее – ПШЭП).</w:t>
            </w:r>
          </w:p>
          <w:p>
            <w:pPr>
              <w:spacing w:after="20"/>
              <w:ind w:left="20"/>
              <w:jc w:val="both"/>
            </w:pPr>
            <w:r>
              <w:rPr>
                <w:rFonts w:ascii="Times New Roman"/>
                <w:b w:val="false"/>
                <w:i w:val="false"/>
                <w:color w:val="000000"/>
                <w:sz w:val="20"/>
              </w:rPr>
              <w:t>
</w:t>
            </w:r>
            <w:r>
              <w:rPr>
                <w:rFonts w:ascii="Times New Roman"/>
                <w:b w:val="false"/>
                <w:i w:val="false"/>
                <w:color w:val="000000"/>
                <w:sz w:val="20"/>
              </w:rPr>
              <w:t>Сумма платы уплачивается в бюджет по месту получения разрешения на пользование животным миром. Уплата производится до получения разрешения путем перечисления через банки второго уровня или организации, осуществляющие отдельные виды банковских операций, за исключением платы за пользование видами животных, являющихся объектами промыслового рыболовства, при превышении суммы платы, подлежащей уплате в бюджет, в сумме более 350-кратного размера месячного расчетного показателя по квотам изъятия объектов промыслового рыболовства текущего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Уплата платы за пользование видами животных, являющихся объектами промыслового рыболовства, при превышении суммы платы, подлежащей уплате в бюджет, в сумме более 350-кратного размера месячного расчетного показателя по квотам изъятия объектов промыслового рыболовства текущего года производится долями в следующие сроки:</w:t>
            </w:r>
          </w:p>
          <w:p>
            <w:pPr>
              <w:spacing w:after="20"/>
              <w:ind w:left="20"/>
              <w:jc w:val="both"/>
            </w:pPr>
            <w:r>
              <w:rPr>
                <w:rFonts w:ascii="Times New Roman"/>
                <w:b w:val="false"/>
                <w:i w:val="false"/>
                <w:color w:val="000000"/>
                <w:sz w:val="20"/>
              </w:rPr>
              <w:t>
</w:t>
            </w:r>
            <w:r>
              <w:rPr>
                <w:rFonts w:ascii="Times New Roman"/>
                <w:b w:val="false"/>
                <w:i w:val="false"/>
                <w:color w:val="000000"/>
                <w:sz w:val="20"/>
              </w:rPr>
              <w:t>до 25 декабря текущего года – 20 процентов от общей квоты, выданной в текущем году;</w:t>
            </w:r>
          </w:p>
          <w:p>
            <w:pPr>
              <w:spacing w:after="20"/>
              <w:ind w:left="20"/>
              <w:jc w:val="both"/>
            </w:pPr>
            <w:r>
              <w:rPr>
                <w:rFonts w:ascii="Times New Roman"/>
                <w:b w:val="false"/>
                <w:i w:val="false"/>
                <w:color w:val="000000"/>
                <w:sz w:val="20"/>
              </w:rPr>
              <w:t>
</w:t>
            </w:r>
            <w:r>
              <w:rPr>
                <w:rFonts w:ascii="Times New Roman"/>
                <w:b w:val="false"/>
                <w:i w:val="false"/>
                <w:color w:val="000000"/>
                <w:sz w:val="20"/>
              </w:rPr>
              <w:t>до 25 марта года, следующего за годом, в котором выдана квота – 40 процентов от общей квоты, выданной в текущем году;</w:t>
            </w:r>
          </w:p>
          <w:p>
            <w:pPr>
              <w:spacing w:after="20"/>
              <w:ind w:left="20"/>
              <w:jc w:val="both"/>
            </w:pPr>
            <w:r>
              <w:rPr>
                <w:rFonts w:ascii="Times New Roman"/>
                <w:b w:val="false"/>
                <w:i w:val="false"/>
                <w:color w:val="000000"/>
                <w:sz w:val="20"/>
              </w:rPr>
              <w:t>
</w:t>
            </w:r>
            <w:r>
              <w:rPr>
                <w:rFonts w:ascii="Times New Roman"/>
                <w:b w:val="false"/>
                <w:i w:val="false"/>
                <w:color w:val="000000"/>
                <w:sz w:val="20"/>
              </w:rPr>
              <w:t>до 25 июня года, следующего за годом, в котором выдана квота – 40 процентов от общей квоты, выданной в текущем году.</w:t>
            </w:r>
          </w:p>
          <w:p>
            <w:pPr>
              <w:spacing w:after="20"/>
              <w:ind w:left="20"/>
              <w:jc w:val="both"/>
            </w:pPr>
            <w:r>
              <w:rPr>
                <w:rFonts w:ascii="Times New Roman"/>
                <w:b w:val="false"/>
                <w:i w:val="false"/>
                <w:color w:val="000000"/>
                <w:sz w:val="20"/>
              </w:rPr>
              <w:t>
</w:t>
            </w:r>
            <w:r>
              <w:rPr>
                <w:rFonts w:ascii="Times New Roman"/>
                <w:b w:val="false"/>
                <w:i w:val="false"/>
                <w:color w:val="000000"/>
                <w:sz w:val="20"/>
              </w:rPr>
              <w:t>Плата не взимается: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 изъятии из природной среды животных для целей мечения, кольцевания, переселения, акклиматизации, искусственного разведения и скрещивания в научно-исследовательских и хозяйственных целях с последующим их выпуском в природную среду;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использовании объектов животного мира, являющихся собственностью физических и юридических лиц, разведенных искусственным путем и содержащихся в неволе и (или) полувольных условиях;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осуществлении уполномоченным государственным органом в области охраны, воспроизводства и использования животного мира контрольного лова рыб и других водных животных в целях биологического обоснования на пользование рыбными ресурсами и другими видами водных животных;</w:t>
            </w:r>
          </w:p>
          <w:p>
            <w:pPr>
              <w:spacing w:after="20"/>
              <w:ind w:left="20"/>
              <w:jc w:val="both"/>
            </w:pPr>
            <w:r>
              <w:rPr>
                <w:rFonts w:ascii="Times New Roman"/>
                <w:b w:val="false"/>
                <w:i w:val="false"/>
                <w:color w:val="000000"/>
                <w:sz w:val="20"/>
              </w:rPr>
              <w:t>
4) при изъятии видов животных, численность которых подлежит регулированию в целях охраны здоровья населения, предохранения от заболеваний сельскохозяйственных и других домашних животных, предотвращения ущерба окружающей среде, предупреждения опасности нанесения существенного ущерба сельскохозяйственной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0"/>
          <w:p>
            <w:pPr>
              <w:spacing w:after="20"/>
              <w:ind w:left="20"/>
              <w:jc w:val="both"/>
            </w:pPr>
            <w:r>
              <w:rPr>
                <w:rFonts w:ascii="Times New Roman"/>
                <w:b w:val="false"/>
                <w:i w:val="false"/>
                <w:color w:val="000000"/>
                <w:sz w:val="20"/>
              </w:rPr>
              <w:t xml:space="preserve">
1) услугодатель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с перерывом на обед с 13.00 часов до 14.30 часов;</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1"/>
          <w:p>
            <w:pPr>
              <w:spacing w:after="20"/>
              <w:ind w:left="20"/>
              <w:jc w:val="both"/>
            </w:pPr>
            <w:r>
              <w:rPr>
                <w:rFonts w:ascii="Times New Roman"/>
                <w:b w:val="false"/>
                <w:i w:val="false"/>
                <w:color w:val="000000"/>
                <w:sz w:val="20"/>
              </w:rPr>
              <w:t>
Заявка в форме электронного документа, удостоверенная электронно-цифровой подписью (далее – ЭЦП) услугополучателя:</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1) при выдаче разрешений на пользование животным миром (на промысловое рыболовство, на научно-исследовательский лов, мелиоративный лов, на лов в воспроизводственных целях, любительское (спортивное) рыболовство) по форме согласно приложению 6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выдаче разрешений на пользование животным миром (на охоту, на использование животных в научных, культурно-просветительских, воспитательных, эстетических целях, а также в целях предотвращения эпизоотии, на использование видов животных в воспроизводственных целях) по форме согласно приложению 7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В зависимости от вида пользования, дополнительно: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1) на охоту (при первичном обращении):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если изъятие объектов животного мира производится с участием иностранцев – электронная копия договора субъекта охотничьего хозяйства с иностранцами на организацию охоты;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научно-исследовательский 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обоснования проведения научных работ и программы научно-исследовательских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расчетов, обосновывающая предполагаемый объем изъятия объектов животного мира;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отчета о результатах использования ранее выданных разрешений (в случае выданных разрешений);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на мелиоративный 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заявка по форме согласно приложению 6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4) на лов в воспроизводственных целях:</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биологического обоснования, аккредитованной научной организации в области охраны, воспроизводства и использования рыбных ресурсов на лов, за исключением случаев вылова для целей выполнения государственного заказа на воспроизводство рыбных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подтверждающих документов на объект производства по искусственному воспроизводству рыбных ресурсов (сведения о собственнике (правообладателе);</w:t>
            </w:r>
          </w:p>
          <w:p>
            <w:pPr>
              <w:spacing w:after="20"/>
              <w:ind w:left="20"/>
              <w:jc w:val="both"/>
            </w:pPr>
            <w:r>
              <w:rPr>
                <w:rFonts w:ascii="Times New Roman"/>
                <w:b w:val="false"/>
                <w:i w:val="false"/>
                <w:color w:val="000000"/>
                <w:sz w:val="20"/>
              </w:rPr>
              <w:t>
</w:t>
            </w:r>
            <w:r>
              <w:rPr>
                <w:rFonts w:ascii="Times New Roman"/>
                <w:b w:val="false"/>
                <w:i w:val="false"/>
                <w:color w:val="000000"/>
                <w:sz w:val="20"/>
              </w:rPr>
              <w:t>5) на промысловый 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заявка по форме согласно приложению 6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6) на использование видов животных в воспроизводственных целях:</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обосновывающих материалов изъятия объектов животного мира (биологического обоснование).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на использование животных в научных, культурно-просветительских, воспитательных, эстетических целях, а также в целях предотвращения эпизоотии: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выписки из научно-тематического плана, утвержденная ученым советом профилирующей научной организации, и программы научно-исследовательских работ, электронная копия обосновывающих материалов изъятия объектов животного мира (биологического обоснование), кроме эпизоотического мониторинга;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ежегодного плана работы государственной ветеринарной организации уполномоченного органа в области ветеринарии для эпизоотического мониторинга болезней животных в Республике Казахстан, в целях предотвращения эпизоотии;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о наличии недвижимого имущества для подтверждения наличия инкубационного цеха, рыбоводных прудов и (или) бассейнов), об учетном номере на вид деятельности "Объекты производства, осуществляющие выращивание и реализацию животных и птицы" (код "К") в соответствии с Правилами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утвержденных приказом Министра сельского хозяйства Республики Казахстан № 7-1/37 от 23 января 2015 года (для частных рыбопитомников в целях производства рыбопосадочного материала), о государственной регистрации (перерегистрации) юридического лица, о государственной регистрации индивидуального предпринимателя, либо о начале деятельности в качестве индивидуального предпринимателя, документа об оплате за пользование животным миром услугодатель получает из соответствующих государственных систем через ПШЭП.</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документов, указанных в пункте 10 настоящих Правил услугополучателю в "личный кабинет" через Портал направляется статус о принятии запроса для оказания государственной услуги с указанием даты выдачи результата.</w:t>
            </w:r>
          </w:p>
          <w:p>
            <w:pPr>
              <w:spacing w:after="20"/>
              <w:ind w:left="20"/>
              <w:jc w:val="both"/>
            </w:pPr>
            <w:r>
              <w:rPr>
                <w:rFonts w:ascii="Times New Roman"/>
                <w:b w:val="false"/>
                <w:i w:val="false"/>
                <w:color w:val="000000"/>
                <w:sz w:val="20"/>
              </w:rPr>
              <w:t>
Результат оказания государственной услуги подписывается электронной цифровой подписью руководителя услугодателя либо лица его замещающего и направляется через портал в "личный кабинет" услугополучателя в форме электронного документа.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2"/>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настоящими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23"/>
          <w:p>
            <w:pPr>
              <w:spacing w:after="20"/>
              <w:ind w:left="20"/>
              <w:jc w:val="both"/>
            </w:pPr>
            <w:r>
              <w:rPr>
                <w:rFonts w:ascii="Times New Roman"/>
                <w:b w:val="false"/>
                <w:i w:val="false"/>
                <w:color w:val="000000"/>
                <w:sz w:val="20"/>
              </w:rPr>
              <w:t xml:space="preserve">
1) Для получения разрешения в целях научно-исследовательского лова необходимо наличие свидетельства об аккредитации субъекта как субъекта научной и (или) научно-технической деятельности в порядке, определенном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8 июня 2011 года № 645 "Об утверждении Правил аккредитации субъектов научной и (или) научно-технической деятельности".</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