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74b1" w14:textId="d2e7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8 октября 2020 года № 309 "Об утверждении Правил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октября 2023 года № 374. Зарегистрирован в Министерстве юстиции Республики Казахстан 2 ноября 2023 года № 33601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октября 2020 года № 309 "Об утверждении Правил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№ 21404)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в ближайший следующий за ним рабочий день.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работник услугодателя в течение 2 (двух) рабочих дней с момента подачи документов, указанных в пункте 8 Перечня, проверяет полноту представленных документов и (или) сведений, содержащихся в них.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проверки ответственный работник услугодателя оформляет результат оказания государственной услуги – заключение (разрешительный документ)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предусмотренным в пункте 7 настоящих Правил.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составляется с учетом требований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года № 45.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портал в "личный кабинет" услугополучателя в форме электронного документа, удостоверенного ЭЦП руководителя услугодателя либо лица, исполняющего его обязанности.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по основаниям, указанным в пункте 9 Перечня.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 образцов</w:t>
      </w:r>
      <w:r>
        <w:br/>
      </w:r>
      <w:r>
        <w:rPr>
          <w:rFonts w:ascii="Times New Roman"/>
          <w:b/>
          <w:i w:val="false"/>
          <w:color w:val="000000"/>
        </w:rPr>
        <w:t>незарегистрированных средств защиты растений (пестицидов)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регистрационных (мелкоделяночных и производственных) испытаний и (или) научных</w:t>
      </w:r>
      <w:r>
        <w:br/>
      </w:r>
      <w:r>
        <w:rPr>
          <w:rFonts w:ascii="Times New Roman"/>
          <w:b/>
          <w:i w:val="false"/>
          <w:color w:val="000000"/>
        </w:rPr>
        <w:t>исследований в соответствии с решениями Коллегии Евразийской экономической комиссии"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по форме согласно приложению к настоящему перечню основных требований к оказанию государственной услуги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инвойса или товаро-транспортной накладной на образцы незарегистрированных средств защиты растений (пестицидов);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полномочия представителя услугополучателя (в случае обращения представителя услугополучателя).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услугополучателем документов, предусмотренных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неполных или недостоверных сведений в документах, представленных услугополучателем для получения заключения (разрешительного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незарегистрированных пестицидов в планах проведения мелкоделяночных и производственных испытаний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договора на проведение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 производственных)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(или)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решениями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bookmarkEnd w:id="26"/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№ ____/_____20 __ /___________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союза, уполномоченного на выдачу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– полное официальное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страна, бизнес-идентификационный номер/для физических лиц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адрес места жительства,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заключение на ввоз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(незарегистрированных средств защиты растений/ограниченного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незарегистрированных средств защиты растений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(ТН ВЭД ЕАЭС)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информация: Инвойс или товаро-транспортная накладная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на проведение регистрационных (мелкоделяночных и 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испытаний и (или)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договора, дата заключения, наименование организации-исполнителя,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Страна транзита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строки заполняются с учетом требований к категориям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заявления заполняется с учетом требований пунктов 5, 6, 7, 10,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15, 16, 17, 18, 19, 20, 21 методических указаний по заполнению единой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(разрешительного документа) на ввоз, вывоз и транзит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включенных в единый перечень товаров, к которым применяются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нетарифного регулирования в торговле с третьими странами,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года № 45.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