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a64" w14:textId="fba1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межрегиональных схем территориального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23 октября 2023 года № 36. Зарегистрирован в Министерстве юстиции Республики Казахстан 30 октября 2023 года № 33584.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межрегиональных схем территориального развития.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межрегиональных схем территориального развития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межрегиональных схем территориального развития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устанавливают порядок разработки, согласования и утверждения межрегиональных схем территориального развития для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(далее – Межрегиональные схемы).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согласования и утверждения межрегиональных схем территориального развития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схема разрабатывается в соответствии с генеральной схемой организации территории Республики Казахстан, служит для взаимно согласованной (консолидированной) архитектурной, градостроительной и строительной деятельности на территориях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и определяет: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планируемой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градостроительное освоение и развитие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комплексному развитию системы расселения и размещения производительных сил, транспортной, инженерной, социальной и рекреационной инфраструктур регионального и межрегионального значений;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рациональному природопользованию, обеспечению ресурсами, охране окружающей среды.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разработки Межрегиональных схем осуществляется уполномоченным органом по делам архитектуры, градостроительства и строительства (далее – Заказчик) совместно с местными исполнительными органами (далее – МИО).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определяет разработчика (генерального проектировщика)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статьи 41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составляет и утверждает задание на проектирование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определяет структуру Межрегиональной схемы, порядок получения исходных данных и согласования Межрегиональной схемы.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Заданием на проектирование устанавливаются границы территории, в пределах которых разрабатываются Межрегиональные схемы.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Исходные материалы для разработки Межрегиональных схем подготавливаются в соответствии с заданием на проектирование заинтересованными государственными органами, а также соответствующими МИО и передаются разработчику (генеральному проектировщику) в течение десяти рабочих дней со дня поступления запроса.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направляет проекты Межрегиональных схем на рассмотрение и согласование в заинтересованные государственные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межрегиональных схем территориального развития агломераций также согласовывается с местными советами агломераций.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промышленности и строительства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 Межрегиональной схемы до утверждения проходит комплексную градостроительную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утвержденными приказом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внесение изменений и дополнений в Межрегиональные схемы, прошедшие комплексную градостроительную экспертизу и получившие положительное заключение до его утверждения.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Межрегиональные схемы, не прошедшие комплексную градостроительную экспертизу и не получившие ее положительное заключение не подлежат утверждению.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Межрегиональные схемы утверждаются Правительством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Утверждаемой частью Межрегиональной схемы являются основные положения, основной чертеж и основные технико-экономические показатели проекта Межрегиональной схемы территориального развития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утвержденных Межрегиональных схем в векторном виде для внесения в базу данных государственного градостроительного кадастра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Казахстан, утвержденными приказом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 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8. Перечень уполномоченных государственных органов и местных исполнительных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согласовывающих данный вид 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 научно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и условия: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наличии)),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Содержание задания уточняется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Межрегиональной схемы территориального развития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оздоровительного, рекреационного и историко-культурного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 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/убыль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городов,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(с расчетной численностью свыше 501,0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(с расчетной численностью населения от 101,0 до 500,0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(с расчетной численностью населения от 51,0 до 100,0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(с расчетной численностью населения до 50,0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 (мужчины 16-62 лет, женщины 16-59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численности занятого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потенциал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общей площадью жилья: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дошкольного, начального и среднего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единиц/учащихся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и искусства: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клубного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(больницы, поликлиники, родильные дома, фельдшерско-акушерские пункты и другие медицинские пункты):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санаторно-курортного назначения, отдыха и туризма (санатории, пансионаты, дома отдыха, лагеря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 стационарного и полустационарного типов (в том числе с психоневрологическими патологиями и нарушением опорно-двигательного аппарата)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железнодорожных путей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судоходных речных путей с гарантированными глубинами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 (международного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газопроводов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нефтепроводов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транспортной сети: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(национальные)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подземных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поверхностных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промышленные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Среднесуточное водопотребление на 1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 на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- 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килоВатт/час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электропередач напряжением 35 килоВольт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Гига калорий/час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Гига калорий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телевидение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цифровым эфирным телевизионным вещанием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всего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 и рациональное природопользование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городов с высоким уровнем загрязнения природной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отходов от общего объема твердо-бытовых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сбросов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государственного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особо охраняемых природных территорий к общей площади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пожарного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депо/автомобилей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