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e4d1" w14:textId="04ee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4 октября 2023 года № 1056. Зарегистрирован в Министерстве юстиции Республики Казахстан 6 октября 2023 года № 33518.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144-11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специальный счет центрального государственного органа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4"/>
    <w:bookmarkStart w:name="z9" w:id="5"/>
    <w:p>
      <w:pPr>
        <w:spacing w:after="0"/>
        <w:ind w:left="0"/>
        <w:jc w:val="both"/>
      </w:pPr>
      <w:r>
        <w:rPr>
          <w:rFonts w:ascii="Times New Roman"/>
          <w:b w:val="false"/>
          <w:i w:val="false"/>
          <w:color w:val="000000"/>
          <w:sz w:val="28"/>
        </w:rPr>
        <w:t>
      Средства со специального счета центрального государственного органа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"170.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6"/>
    <w:bookmarkStart w:name="z12" w:id="7"/>
    <w:p>
      <w:pPr>
        <w:spacing w:after="0"/>
        <w:ind w:left="0"/>
        <w:jc w:val="both"/>
      </w:pPr>
      <w:r>
        <w:rPr>
          <w:rFonts w:ascii="Times New Roman"/>
          <w:b w:val="false"/>
          <w:i w:val="false"/>
          <w:color w:val="000000"/>
          <w:sz w:val="28"/>
        </w:rPr>
        <w:t>
      70 процентов для оплаты расходов, предусматривающих лечение больных за рубежом;</w:t>
      </w:r>
    </w:p>
    <w:bookmarkEnd w:id="7"/>
    <w:bookmarkStart w:name="z13" w:id="8"/>
    <w:p>
      <w:pPr>
        <w:spacing w:after="0"/>
        <w:ind w:left="0"/>
        <w:jc w:val="both"/>
      </w:pPr>
      <w:r>
        <w:rPr>
          <w:rFonts w:ascii="Times New Roman"/>
          <w:b w:val="false"/>
          <w:i w:val="false"/>
          <w:color w:val="000000"/>
          <w:sz w:val="28"/>
        </w:rPr>
        <w:t>
      50 процентов для оплаты расходов, предусматривающих оказание услуг организациями первичной медико-санитарной помощи на селе;</w:t>
      </w:r>
    </w:p>
    <w:bookmarkEnd w:id="8"/>
    <w:bookmarkStart w:name="z14" w:id="9"/>
    <w:p>
      <w:pPr>
        <w:spacing w:after="0"/>
        <w:ind w:left="0"/>
        <w:jc w:val="both"/>
      </w:pPr>
      <w:r>
        <w:rPr>
          <w:rFonts w:ascii="Times New Roman"/>
          <w:b w:val="false"/>
          <w:i w:val="false"/>
          <w:color w:val="000000"/>
          <w:sz w:val="28"/>
        </w:rPr>
        <w:t>
      50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9"/>
    <w:bookmarkStart w:name="z15" w:id="10"/>
    <w:p>
      <w:pPr>
        <w:spacing w:after="0"/>
        <w:ind w:left="0"/>
        <w:jc w:val="both"/>
      </w:pPr>
      <w:r>
        <w:rPr>
          <w:rFonts w:ascii="Times New Roman"/>
          <w:b w:val="false"/>
          <w:i w:val="false"/>
          <w:color w:val="000000"/>
          <w:sz w:val="28"/>
        </w:rPr>
        <w:t>
      30 процентов для оплаты расходов, не входящих в перечень расходов, предусмотренных настоящим пунктом.</w:t>
      </w:r>
    </w:p>
    <w:bookmarkEnd w:id="10"/>
    <w:bookmarkStart w:name="z16" w:id="11"/>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50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11"/>
    <w:bookmarkStart w:name="z17"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468</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469</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"469. Центральный уполномоченный орган по исполнению бюджета осуществляет открытие местным исполнительным органам:</w:t>
      </w:r>
    </w:p>
    <w:bookmarkEnd w:id="14"/>
    <w:bookmarkStart w:name="z21" w:id="15"/>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5"/>
    <w:bookmarkStart w:name="z22" w:id="16"/>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6"/>
    <w:bookmarkStart w:name="z23" w:id="17"/>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7"/>
    <w:bookmarkStart w:name="z24" w:id="18"/>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8"/>
    <w:bookmarkStart w:name="z25" w:id="19"/>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9"/>
    <w:bookmarkStart w:name="z26" w:id="20"/>
    <w:p>
      <w:pPr>
        <w:spacing w:after="0"/>
        <w:ind w:left="0"/>
        <w:jc w:val="both"/>
      </w:pP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20"/>
    <w:bookmarkStart w:name="z27" w:id="21"/>
    <w:p>
      <w:pPr>
        <w:spacing w:after="0"/>
        <w:ind w:left="0"/>
        <w:jc w:val="both"/>
      </w:pP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21"/>
    <w:bookmarkStart w:name="z28" w:id="22"/>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территориальное подразделение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22"/>
    <w:bookmarkStart w:name="z29" w:id="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470</w:t>
      </w:r>
      <w:r>
        <w:rPr>
          <w:rFonts w:ascii="Times New Roman"/>
          <w:b w:val="false"/>
          <w:i w:val="false"/>
          <w:color w:val="000000"/>
          <w:sz w:val="28"/>
        </w:rPr>
        <w:t xml:space="preserve"> изложить в следующей редакции:</w:t>
      </w:r>
    </w:p>
    <w:bookmarkEnd w:id="23"/>
    <w:bookmarkStart w:name="z30" w:id="24"/>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471</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"471.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"О выборах в Республике Казахстан.";</w:t>
      </w:r>
    </w:p>
    <w:bookmarkEnd w:id="25"/>
    <w:bookmarkStart w:name="z33"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472</w:t>
      </w:r>
      <w:r>
        <w:rPr>
          <w:rFonts w:ascii="Times New Roman"/>
          <w:b w:val="false"/>
          <w:i w:val="false"/>
          <w:color w:val="000000"/>
          <w:sz w:val="28"/>
        </w:rPr>
        <w:t xml:space="preserve"> изложить в следующей редакции:</w:t>
      </w:r>
    </w:p>
    <w:bookmarkEnd w:id="26"/>
    <w:bookmarkStart w:name="z34" w:id="27"/>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части первой пункта 475 изложить в следующей редакции:</w:t>
      </w:r>
    </w:p>
    <w:bookmarkStart w:name="z36" w:id="28"/>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477</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"477.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29"/>
    <w:bookmarkStart w:name="z39" w:id="30"/>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30"/>
    <w:bookmarkStart w:name="z40" w:id="31"/>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31"/>
    <w:bookmarkStart w:name="z41" w:id="32"/>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480</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xml:space="preserve">
      "480.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w:t>
      </w:r>
    </w:p>
    <w:bookmarkEnd w:id="33"/>
    <w:bookmarkStart w:name="z44" w:id="3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4"/>
    <w:bookmarkStart w:name="z45" w:id="3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5"/>
    <w:bookmarkStart w:name="z46"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6"/>
    <w:bookmarkStart w:name="z47"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7"/>
    <w:bookmarkStart w:name="z48" w:id="3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50"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