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e436" w14:textId="6dce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июля 2023 года № 67. Зарегистрировано в Министерстве юстиции Республики Казахстан 7 августа 2023 года № 33241.</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финансового рынка,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июля 2023 года № 67</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дополнения</w:t>
      </w:r>
    </w:p>
    <w:bookmarkEnd w:id="8"/>
    <w:bookmarkStart w:name="z15" w:id="9"/>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14.04.2026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Нормативных значениях </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"2-1. Для целей расчета Нормативов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 (далее – Требования к формированию, методике расчета страховых резервов и их структуре).";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"10.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A.M. Best и Morningstar (Эй. Эм. Бест и (Морнинстар), их дочерних рейтинговых организаций и рейтинговых агентств, соответствующих критериям, установленным пунктом 10-2 Нормативов при соблюдении условия, установленного пунктом 10-1 Нормативов (далее - другие рейтинговые агентства).</w:t>
      </w:r>
    </w:p>
    <w:bookmarkEnd w:id="13"/>
    <w:bookmarkStart w:name="z24" w:id="14"/>
    <w:p>
      <w:pPr>
        <w:spacing w:after="0"/>
        <w:ind w:left="0"/>
        <w:jc w:val="both"/>
      </w:pPr>
      <w:r>
        <w:rPr>
          <w:rFonts w:ascii="Times New Roman"/>
          <w:b w:val="false"/>
          <w:i w:val="false"/>
          <w:color w:val="000000"/>
          <w:sz w:val="28"/>
        </w:rPr>
        <w:t>
      Рейтинговые оценки агентства A.M. Best (Эй.Эм.Бест) используются только в целях признания рейтинговой оценки перестраховщика.</w:t>
      </w:r>
    </w:p>
    <w:bookmarkEnd w:id="14"/>
    <w:bookmarkStart w:name="z25" w:id="15"/>
    <w:p>
      <w:pPr>
        <w:spacing w:after="0"/>
        <w:ind w:left="0"/>
        <w:jc w:val="both"/>
      </w:pPr>
      <w:r>
        <w:rPr>
          <w:rFonts w:ascii="Times New Roman"/>
          <w:b w:val="false"/>
          <w:i w:val="false"/>
          <w:color w:val="000000"/>
          <w:sz w:val="28"/>
        </w:rPr>
        <w:t>
      Рейтинговые оценки рейтингового агентства Morningstar (Морнинстар) используются только в целях оценки паев Exchange Traded Funds (ETF) (Эксчейндж Трэйдэд Фандс), Exchange traded commodities (ETC) (Эксчейндж Трэйдэд Коммодитис), Exchange Traded Notes (ETN) (Эксчейндж Трэйдэд Ноутс).</w:t>
      </w:r>
    </w:p>
    <w:bookmarkEnd w:id="15"/>
    <w:bookmarkStart w:name="z26" w:id="16"/>
    <w:p>
      <w:pPr>
        <w:spacing w:after="0"/>
        <w:ind w:left="0"/>
        <w:jc w:val="both"/>
      </w:pPr>
      <w:r>
        <w:rPr>
          <w:rFonts w:ascii="Times New Roman"/>
          <w:b w:val="false"/>
          <w:i w:val="false"/>
          <w:color w:val="000000"/>
          <w:sz w:val="28"/>
        </w:rPr>
        <w:t xml:space="preserve">
      Для целей Нормативов используются долгосрочные кредитные рейтинги, рейтинги финансовой устойчивости страховой (перестраховочной) организации или соответствующие им рейтинги в соответствии со сравнительной таблицей долгосрочных рейтингов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bookmarkEnd w:id="16"/>
    <w:bookmarkStart w:name="z27" w:id="17"/>
    <w:p>
      <w:pPr>
        <w:spacing w:after="0"/>
        <w:ind w:left="0"/>
        <w:jc w:val="both"/>
      </w:pPr>
      <w:r>
        <w:rPr>
          <w:rFonts w:ascii="Times New Roman"/>
          <w:b w:val="false"/>
          <w:i w:val="false"/>
          <w:color w:val="000000"/>
          <w:sz w:val="28"/>
        </w:rPr>
        <w:t>
      10-1. При расчете Нормативов долгосрочные кредитные рейтинги, присвоенные рейтинговыми агентствами, соответствующими критериям, установленным пунктом 10-2 Нормативов, по международной рейтинговой шкале используются только в отношении иностранных объектов рейтинга.</w:t>
      </w:r>
    </w:p>
    <w:bookmarkEnd w:id="17"/>
    <w:bookmarkStart w:name="z28" w:id="18"/>
    <w:p>
      <w:pPr>
        <w:spacing w:after="0"/>
        <w:ind w:left="0"/>
        <w:jc w:val="both"/>
      </w:pPr>
      <w:r>
        <w:rPr>
          <w:rFonts w:ascii="Times New Roman"/>
          <w:b w:val="false"/>
          <w:i w:val="false"/>
          <w:color w:val="000000"/>
          <w:sz w:val="28"/>
        </w:rPr>
        <w:t>
      10-2. Для целей Нормативов уполномоченным органом признаются рейтинговые оценки рейтинговых агентств, соответствующих следующим критериям:</w:t>
      </w:r>
    </w:p>
    <w:bookmarkEnd w:id="18"/>
    <w:bookmarkStart w:name="z29" w:id="19"/>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19"/>
    <w:bookmarkStart w:name="z30" w:id="20"/>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20"/>
    <w:bookmarkStart w:name="z31" w:id="21"/>
    <w:p>
      <w:pPr>
        <w:spacing w:after="0"/>
        <w:ind w:left="0"/>
        <w:jc w:val="both"/>
      </w:pPr>
      <w:r>
        <w:rPr>
          <w:rFonts w:ascii="Times New Roman"/>
          <w:b w:val="false"/>
          <w:i w:val="false"/>
          <w:color w:val="000000"/>
          <w:sz w:val="28"/>
        </w:rPr>
        <w:t>
      3) объективность, независимость и ответственность:</w:t>
      </w:r>
    </w:p>
    <w:bookmarkEnd w:id="21"/>
    <w:bookmarkStart w:name="z32" w:id="22"/>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22"/>
    <w:bookmarkStart w:name="z33" w:id="23"/>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квазигосударственными организациями или политическими партиями, которые не вмешиваются в деятельность рейтингового агентства и не имеют влияния на процессы присвоения рейтингов;</w:t>
      </w:r>
    </w:p>
    <w:bookmarkEnd w:id="23"/>
    <w:bookmarkStart w:name="z34" w:id="24"/>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24"/>
    <w:bookmarkStart w:name="z35" w:id="25"/>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25"/>
    <w:bookmarkStart w:name="z36" w:id="26"/>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w:t>
      </w:r>
    </w:p>
    <w:bookmarkEnd w:id="26"/>
    <w:bookmarkStart w:name="z37" w:id="27"/>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иных действий по привлечению клиентов;</w:t>
      </w:r>
    </w:p>
    <w:bookmarkEnd w:id="27"/>
    <w:bookmarkStart w:name="z38" w:id="28"/>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28"/>
    <w:bookmarkStart w:name="z39" w:id="29"/>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29"/>
    <w:bookmarkStart w:name="z40" w:id="30"/>
    <w:p>
      <w:pPr>
        <w:spacing w:after="0"/>
        <w:ind w:left="0"/>
        <w:jc w:val="both"/>
      </w:pPr>
      <w:r>
        <w:rPr>
          <w:rFonts w:ascii="Times New Roman"/>
          <w:b w:val="false"/>
          <w:i w:val="false"/>
          <w:color w:val="000000"/>
          <w:sz w:val="28"/>
        </w:rPr>
        <w:t>
      4) прозрачность и раскрытие информации:</w:t>
      </w:r>
    </w:p>
    <w:bookmarkEnd w:id="30"/>
    <w:bookmarkStart w:name="z41" w:id="31"/>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31"/>
    <w:bookmarkStart w:name="z42" w:id="32"/>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32"/>
    <w:bookmarkStart w:name="z43" w:id="33"/>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w:t>
      </w:r>
    </w:p>
    <w:bookmarkEnd w:id="33"/>
    <w:bookmarkStart w:name="z44" w:id="34"/>
    <w:p>
      <w:pPr>
        <w:spacing w:after="0"/>
        <w:ind w:left="0"/>
        <w:jc w:val="both"/>
      </w:pPr>
      <w:r>
        <w:rPr>
          <w:rFonts w:ascii="Times New Roman"/>
          <w:b w:val="false"/>
          <w:i w:val="false"/>
          <w:color w:val="000000"/>
          <w:sz w:val="28"/>
        </w:rPr>
        <w:t>
      5) надежность рейтингов:</w:t>
      </w:r>
    </w:p>
    <w:bookmarkEnd w:id="34"/>
    <w:bookmarkStart w:name="z45" w:id="35"/>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пяти последних лет;</w:t>
      </w:r>
    </w:p>
    <w:bookmarkEnd w:id="35"/>
    <w:bookmarkStart w:name="z46" w:id="36"/>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три года не менее двадцати, из них не менее пяти являлись финансовыми организациями;</w:t>
      </w:r>
    </w:p>
    <w:bookmarkEnd w:id="36"/>
    <w:bookmarkStart w:name="z47" w:id="37"/>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37"/>
    <w:bookmarkStart w:name="z48" w:id="38"/>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38"/>
    <w:bookmarkStart w:name="z49" w:id="39"/>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39"/>
    <w:bookmarkStart w:name="z50" w:id="40"/>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календарного года с даты присвоения или последнего пересмотра рейтинга или даты последнего пересмотра применяемой методологии.</w:t>
      </w:r>
    </w:p>
    <w:bookmarkEnd w:id="40"/>
    <w:bookmarkStart w:name="z51" w:id="41"/>
    <w:p>
      <w:pPr>
        <w:spacing w:after="0"/>
        <w:ind w:left="0"/>
        <w:jc w:val="both"/>
      </w:pPr>
      <w:r>
        <w:rPr>
          <w:rFonts w:ascii="Times New Roman"/>
          <w:b w:val="false"/>
          <w:i w:val="false"/>
          <w:color w:val="000000"/>
          <w:sz w:val="28"/>
        </w:rPr>
        <w:t>
      При соответствии критериям, установленным подпунктами 1), 2), 3), 4) и 5) настоящего пункта,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41"/>
    <w:bookmarkStart w:name="z52" w:id="42"/>
    <w:p>
      <w:pPr>
        <w:spacing w:after="0"/>
        <w:ind w:left="0"/>
        <w:jc w:val="both"/>
      </w:pPr>
      <w:r>
        <w:rPr>
          <w:rFonts w:ascii="Times New Roman"/>
          <w:b w:val="false"/>
          <w:i w:val="false"/>
          <w:color w:val="000000"/>
          <w:sz w:val="28"/>
        </w:rPr>
        <w:t xml:space="preserve">
      При соответствии рейтинговых оценок рейтингового агентства уполномоченным органом на официальном интернет-ресурсе в срок не позднее десяти рабочих дней публикуются сведения о рейтинговом агентстве и сопоставимости рейтинговых шкал рейтинговых агентств. </w:t>
      </w:r>
    </w:p>
    <w:bookmarkEnd w:id="42"/>
    <w:bookmarkStart w:name="z53" w:id="43"/>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w:t>
      </w:r>
    </w:p>
    <w:bookmarkEnd w:id="43"/>
    <w:bookmarkStart w:name="z54" w:id="44"/>
    <w:p>
      <w:pPr>
        <w:spacing w:after="0"/>
        <w:ind w:left="0"/>
        <w:jc w:val="both"/>
      </w:pPr>
      <w:r>
        <w:rPr>
          <w:rFonts w:ascii="Times New Roman"/>
          <w:b w:val="false"/>
          <w:i w:val="false"/>
          <w:color w:val="000000"/>
          <w:sz w:val="28"/>
        </w:rPr>
        <w:t>
      в Перечне финансовых инструментов (за исключением акций и долей участия в уставном капитале), приобретаемых страховыми (перестраховочными) организациями, утвержденном указанным постановлением:</w:t>
      </w:r>
    </w:p>
    <w:bookmarkEnd w:id="44"/>
    <w:bookmarkStart w:name="z55" w:id="45"/>
    <w:p>
      <w:pPr>
        <w:spacing w:after="0"/>
        <w:ind w:left="0"/>
        <w:jc w:val="both"/>
      </w:pPr>
      <w:r>
        <w:rPr>
          <w:rFonts w:ascii="Times New Roman"/>
          <w:b w:val="false"/>
          <w:i w:val="false"/>
          <w:color w:val="000000"/>
          <w:sz w:val="28"/>
        </w:rPr>
        <w:t>
      пункт 1 изложить в следующей редакции:</w:t>
      </w:r>
    </w:p>
    <w:bookmarkEnd w:id="45"/>
    <w:bookmarkStart w:name="z56" w:id="4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 страховой деятельности" страховым (перестраховочным) организациям разрешены к приобретению следующие финансовые инструменты (за исключением акций и долей участия в уставном капитале):</w:t>
      </w:r>
    </w:p>
    <w:bookmarkEnd w:id="46"/>
    <w:bookmarkStart w:name="z57" w:id="47"/>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47"/>
    <w:bookmarkStart w:name="z58" w:id="48"/>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48"/>
    <w:bookmarkStart w:name="z59" w:id="49"/>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Fitch (Фич), их дочерних рейтинговых организаций и рейтинговых агентств, соответствующих критериям, установленным пунктом 10-2 Нормативов при соблюдении условия, установленного пунктом 10-1 Нормативов (далее - другие рейтинговые агентства);</w:t>
      </w:r>
    </w:p>
    <w:bookmarkEnd w:id="49"/>
    <w:bookmarkStart w:name="z60" w:id="50"/>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50"/>
    <w:bookmarkStart w:name="z61" w:id="51"/>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51"/>
    <w:bookmarkStart w:name="z62" w:id="52"/>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52"/>
    <w:bookmarkStart w:name="z63" w:id="53"/>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53"/>
    <w:bookmarkStart w:name="z64" w:id="54"/>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54"/>
    <w:bookmarkStart w:name="z65" w:id="55"/>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55"/>
    <w:bookmarkStart w:name="z66" w:id="56"/>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56"/>
    <w:bookmarkStart w:name="z67" w:id="57"/>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57"/>
    <w:bookmarkStart w:name="z68" w:id="58"/>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58"/>
    <w:bookmarkStart w:name="z69" w:id="59"/>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59"/>
    <w:bookmarkStart w:name="z70" w:id="60"/>
    <w:p>
      <w:pPr>
        <w:spacing w:after="0"/>
        <w:ind w:left="0"/>
        <w:jc w:val="both"/>
      </w:pPr>
      <w:r>
        <w:rPr>
          <w:rFonts w:ascii="Times New Roman"/>
          <w:b w:val="false"/>
          <w:i w:val="false"/>
          <w:color w:val="000000"/>
          <w:sz w:val="28"/>
        </w:rPr>
        <w:t>
      11) долговые ценные бумаги, выпущенные следующими международными финансовыми организациями:</w:t>
      </w:r>
    </w:p>
    <w:bookmarkEnd w:id="60"/>
    <w:bookmarkStart w:name="z71" w:id="61"/>
    <w:p>
      <w:pPr>
        <w:spacing w:after="0"/>
        <w:ind w:left="0"/>
        <w:jc w:val="both"/>
      </w:pPr>
      <w:r>
        <w:rPr>
          <w:rFonts w:ascii="Times New Roman"/>
          <w:b w:val="false"/>
          <w:i w:val="false"/>
          <w:color w:val="000000"/>
          <w:sz w:val="28"/>
        </w:rPr>
        <w:t>
      Азиатский банк развития;</w:t>
      </w:r>
    </w:p>
    <w:bookmarkEnd w:id="61"/>
    <w:bookmarkStart w:name="z72" w:id="62"/>
    <w:p>
      <w:pPr>
        <w:spacing w:after="0"/>
        <w:ind w:left="0"/>
        <w:jc w:val="both"/>
      </w:pPr>
      <w:r>
        <w:rPr>
          <w:rFonts w:ascii="Times New Roman"/>
          <w:b w:val="false"/>
          <w:i w:val="false"/>
          <w:color w:val="000000"/>
          <w:sz w:val="28"/>
        </w:rPr>
        <w:t>
      Межамериканский банк развития;</w:t>
      </w:r>
    </w:p>
    <w:bookmarkEnd w:id="62"/>
    <w:bookmarkStart w:name="z73" w:id="63"/>
    <w:p>
      <w:pPr>
        <w:spacing w:after="0"/>
        <w:ind w:left="0"/>
        <w:jc w:val="both"/>
      </w:pPr>
      <w:r>
        <w:rPr>
          <w:rFonts w:ascii="Times New Roman"/>
          <w:b w:val="false"/>
          <w:i w:val="false"/>
          <w:color w:val="000000"/>
          <w:sz w:val="28"/>
        </w:rPr>
        <w:t>
      Африканский банк развития;</w:t>
      </w:r>
    </w:p>
    <w:bookmarkEnd w:id="63"/>
    <w:bookmarkStart w:name="z74" w:id="64"/>
    <w:p>
      <w:pPr>
        <w:spacing w:after="0"/>
        <w:ind w:left="0"/>
        <w:jc w:val="both"/>
      </w:pPr>
      <w:r>
        <w:rPr>
          <w:rFonts w:ascii="Times New Roman"/>
          <w:b w:val="false"/>
          <w:i w:val="false"/>
          <w:color w:val="000000"/>
          <w:sz w:val="28"/>
        </w:rPr>
        <w:t>
      Евразийский банк развития;</w:t>
      </w:r>
    </w:p>
    <w:bookmarkEnd w:id="64"/>
    <w:bookmarkStart w:name="z75" w:id="65"/>
    <w:p>
      <w:pPr>
        <w:spacing w:after="0"/>
        <w:ind w:left="0"/>
        <w:jc w:val="both"/>
      </w:pPr>
      <w:r>
        <w:rPr>
          <w:rFonts w:ascii="Times New Roman"/>
          <w:b w:val="false"/>
          <w:i w:val="false"/>
          <w:color w:val="000000"/>
          <w:sz w:val="28"/>
        </w:rPr>
        <w:t>
      Европейский банк реконструкции и развития;</w:t>
      </w:r>
    </w:p>
    <w:bookmarkEnd w:id="65"/>
    <w:bookmarkStart w:name="z76" w:id="66"/>
    <w:p>
      <w:pPr>
        <w:spacing w:after="0"/>
        <w:ind w:left="0"/>
        <w:jc w:val="both"/>
      </w:pPr>
      <w:r>
        <w:rPr>
          <w:rFonts w:ascii="Times New Roman"/>
          <w:b w:val="false"/>
          <w:i w:val="false"/>
          <w:color w:val="000000"/>
          <w:sz w:val="28"/>
        </w:rPr>
        <w:t>
      Европейский инвестиционный банк;</w:t>
      </w:r>
    </w:p>
    <w:bookmarkEnd w:id="66"/>
    <w:bookmarkStart w:name="z77" w:id="67"/>
    <w:p>
      <w:pPr>
        <w:spacing w:after="0"/>
        <w:ind w:left="0"/>
        <w:jc w:val="both"/>
      </w:pPr>
      <w:r>
        <w:rPr>
          <w:rFonts w:ascii="Times New Roman"/>
          <w:b w:val="false"/>
          <w:i w:val="false"/>
          <w:color w:val="000000"/>
          <w:sz w:val="28"/>
        </w:rPr>
        <w:t>
      Банк Развития Европейского Совета;</w:t>
      </w:r>
    </w:p>
    <w:bookmarkEnd w:id="67"/>
    <w:bookmarkStart w:name="z78" w:id="68"/>
    <w:p>
      <w:pPr>
        <w:spacing w:after="0"/>
        <w:ind w:left="0"/>
        <w:jc w:val="both"/>
      </w:pPr>
      <w:r>
        <w:rPr>
          <w:rFonts w:ascii="Times New Roman"/>
          <w:b w:val="false"/>
          <w:i w:val="false"/>
          <w:color w:val="000000"/>
          <w:sz w:val="28"/>
        </w:rPr>
        <w:t>
      Исламская корпорация по развитию частного сектора;</w:t>
      </w:r>
    </w:p>
    <w:bookmarkEnd w:id="68"/>
    <w:bookmarkStart w:name="z79" w:id="69"/>
    <w:p>
      <w:pPr>
        <w:spacing w:after="0"/>
        <w:ind w:left="0"/>
        <w:jc w:val="both"/>
      </w:pPr>
      <w:r>
        <w:rPr>
          <w:rFonts w:ascii="Times New Roman"/>
          <w:b w:val="false"/>
          <w:i w:val="false"/>
          <w:color w:val="000000"/>
          <w:sz w:val="28"/>
        </w:rPr>
        <w:t>
      Исламский банк развития;</w:t>
      </w:r>
    </w:p>
    <w:bookmarkEnd w:id="69"/>
    <w:bookmarkStart w:name="z80" w:id="70"/>
    <w:p>
      <w:pPr>
        <w:spacing w:after="0"/>
        <w:ind w:left="0"/>
        <w:jc w:val="both"/>
      </w:pPr>
      <w:r>
        <w:rPr>
          <w:rFonts w:ascii="Times New Roman"/>
          <w:b w:val="false"/>
          <w:i w:val="false"/>
          <w:color w:val="000000"/>
          <w:sz w:val="28"/>
        </w:rPr>
        <w:t>
      Многостороннее агентство гарантии инвестиций;</w:t>
      </w:r>
    </w:p>
    <w:bookmarkEnd w:id="70"/>
    <w:bookmarkStart w:name="z81" w:id="71"/>
    <w:p>
      <w:pPr>
        <w:spacing w:after="0"/>
        <w:ind w:left="0"/>
        <w:jc w:val="both"/>
      </w:pPr>
      <w:r>
        <w:rPr>
          <w:rFonts w:ascii="Times New Roman"/>
          <w:b w:val="false"/>
          <w:i w:val="false"/>
          <w:color w:val="000000"/>
          <w:sz w:val="28"/>
        </w:rPr>
        <w:t>
      Скандинавский инвестиционный банк;</w:t>
      </w:r>
    </w:p>
    <w:bookmarkEnd w:id="71"/>
    <w:bookmarkStart w:name="z82" w:id="72"/>
    <w:p>
      <w:pPr>
        <w:spacing w:after="0"/>
        <w:ind w:left="0"/>
        <w:jc w:val="both"/>
      </w:pPr>
      <w:r>
        <w:rPr>
          <w:rFonts w:ascii="Times New Roman"/>
          <w:b w:val="false"/>
          <w:i w:val="false"/>
          <w:color w:val="000000"/>
          <w:sz w:val="28"/>
        </w:rPr>
        <w:t>
      Международный валютный фонд;</w:t>
      </w:r>
    </w:p>
    <w:bookmarkEnd w:id="72"/>
    <w:bookmarkStart w:name="z83" w:id="73"/>
    <w:p>
      <w:pPr>
        <w:spacing w:after="0"/>
        <w:ind w:left="0"/>
        <w:jc w:val="both"/>
      </w:pPr>
      <w:r>
        <w:rPr>
          <w:rFonts w:ascii="Times New Roman"/>
          <w:b w:val="false"/>
          <w:i w:val="false"/>
          <w:color w:val="000000"/>
          <w:sz w:val="28"/>
        </w:rPr>
        <w:t>
      Международная ассоциация развития;</w:t>
      </w:r>
    </w:p>
    <w:bookmarkEnd w:id="73"/>
    <w:bookmarkStart w:name="z84" w:id="74"/>
    <w:p>
      <w:pPr>
        <w:spacing w:after="0"/>
        <w:ind w:left="0"/>
        <w:jc w:val="both"/>
      </w:pPr>
      <w:r>
        <w:rPr>
          <w:rFonts w:ascii="Times New Roman"/>
          <w:b w:val="false"/>
          <w:i w:val="false"/>
          <w:color w:val="000000"/>
          <w:sz w:val="28"/>
        </w:rPr>
        <w:t>
      Банк международных расчетов;</w:t>
      </w:r>
    </w:p>
    <w:bookmarkEnd w:id="74"/>
    <w:bookmarkStart w:name="z85" w:id="75"/>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75"/>
    <w:bookmarkStart w:name="z86" w:id="76"/>
    <w:p>
      <w:pPr>
        <w:spacing w:after="0"/>
        <w:ind w:left="0"/>
        <w:jc w:val="both"/>
      </w:pPr>
      <w:r>
        <w:rPr>
          <w:rFonts w:ascii="Times New Roman"/>
          <w:b w:val="false"/>
          <w:i w:val="false"/>
          <w:color w:val="000000"/>
          <w:sz w:val="28"/>
        </w:rPr>
        <w:t>
      Международный банк реконструкции и развития;</w:t>
      </w:r>
    </w:p>
    <w:bookmarkEnd w:id="76"/>
    <w:bookmarkStart w:name="z87" w:id="77"/>
    <w:p>
      <w:pPr>
        <w:spacing w:after="0"/>
        <w:ind w:left="0"/>
        <w:jc w:val="both"/>
      </w:pPr>
      <w:r>
        <w:rPr>
          <w:rFonts w:ascii="Times New Roman"/>
          <w:b w:val="false"/>
          <w:i w:val="false"/>
          <w:color w:val="000000"/>
          <w:sz w:val="28"/>
        </w:rPr>
        <w:t>
      Международная финансовая корпорация;</w:t>
      </w:r>
    </w:p>
    <w:bookmarkEnd w:id="77"/>
    <w:bookmarkStart w:name="z88" w:id="78"/>
    <w:p>
      <w:pPr>
        <w:spacing w:after="0"/>
        <w:ind w:left="0"/>
        <w:jc w:val="both"/>
      </w:pPr>
      <w:r>
        <w:rPr>
          <w:rFonts w:ascii="Times New Roman"/>
          <w:b w:val="false"/>
          <w:i w:val="false"/>
          <w:color w:val="000000"/>
          <w:sz w:val="28"/>
        </w:rPr>
        <w:t>
      12)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78"/>
    <w:bookmarkStart w:name="z89" w:id="79"/>
    <w:p>
      <w:pPr>
        <w:spacing w:after="0"/>
        <w:ind w:left="0"/>
        <w:jc w:val="both"/>
      </w:pPr>
      <w:r>
        <w:rPr>
          <w:rFonts w:ascii="Times New Roman"/>
          <w:b w:val="false"/>
          <w:i w:val="false"/>
          <w:color w:val="000000"/>
          <w:sz w:val="28"/>
        </w:rPr>
        <w:t>
      13) негосударственные долговые ценные бумаги, выпущенные иностранными эмитентами, имеющие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79"/>
    <w:bookmarkStart w:name="z90" w:id="80"/>
    <w:p>
      <w:pPr>
        <w:spacing w:after="0"/>
        <w:ind w:left="0"/>
        <w:jc w:val="both"/>
      </w:pPr>
      <w:r>
        <w:rPr>
          <w:rFonts w:ascii="Times New Roman"/>
          <w:b w:val="false"/>
          <w:i w:val="false"/>
          <w:color w:val="000000"/>
          <w:sz w:val="28"/>
        </w:rPr>
        <w:t>
      14) аффинированные драгоценные металлы и металлические счета;</w:t>
      </w:r>
    </w:p>
    <w:bookmarkEnd w:id="80"/>
    <w:bookmarkStart w:name="z91" w:id="81"/>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bookmarkEnd w:id="81"/>
    <w:bookmarkStart w:name="z92" w:id="82"/>
    <w:p>
      <w:pPr>
        <w:spacing w:after="0"/>
        <w:ind w:left="0"/>
        <w:jc w:val="both"/>
      </w:pPr>
      <w:r>
        <w:rPr>
          <w:rFonts w:ascii="Times New Roman"/>
          <w:b w:val="false"/>
          <w:i w:val="false"/>
          <w:color w:val="000000"/>
          <w:sz w:val="28"/>
        </w:rPr>
        <w:t>
      16)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82"/>
    <w:bookmarkStart w:name="z93" w:id="83"/>
    <w:p>
      <w:pPr>
        <w:spacing w:after="0"/>
        <w:ind w:left="0"/>
        <w:jc w:val="both"/>
      </w:pPr>
      <w:r>
        <w:rPr>
          <w:rFonts w:ascii="Times New Roman"/>
          <w:b w:val="false"/>
          <w:i w:val="false"/>
          <w:color w:val="000000"/>
          <w:sz w:val="28"/>
        </w:rPr>
        <w:t>
      17)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83"/>
    <w:bookmarkStart w:name="z94" w:id="84"/>
    <w:p>
      <w:pPr>
        <w:spacing w:after="0"/>
        <w:ind w:left="0"/>
        <w:jc w:val="both"/>
      </w:pPr>
      <w:r>
        <w:rPr>
          <w:rFonts w:ascii="Times New Roman"/>
          <w:b w:val="false"/>
          <w:i w:val="false"/>
          <w:color w:val="000000"/>
          <w:sz w:val="28"/>
        </w:rPr>
        <w:t>
      18)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84"/>
    <w:bookmarkStart w:name="z95" w:id="85"/>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8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следующие изменение и дополнения:</w:t>
      </w:r>
    </w:p>
    <w:bookmarkEnd w:id="86"/>
    <w:bookmarkStart w:name="z154"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6" w:id="88"/>
    <w:p>
      <w:pPr>
        <w:spacing w:after="0"/>
        <w:ind w:left="0"/>
        <w:jc w:val="both"/>
      </w:pPr>
      <w:r>
        <w:rPr>
          <w:rFonts w:ascii="Times New Roman"/>
          <w:b w:val="false"/>
          <w:i w:val="false"/>
          <w:color w:val="000000"/>
          <w:sz w:val="28"/>
        </w:rPr>
        <w:t xml:space="preserve">
      "4.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и рейтинговых агентств, соответствующих критериям, установленным пунктом 4-2 Правил при соблюдении условия, установленного пунктом 4-1 Правил (далее - другие рейтинговые агентства).";</w:t>
      </w:r>
    </w:p>
    <w:bookmarkEnd w:id="88"/>
    <w:bookmarkStart w:name="z157" w:id="89"/>
    <w:p>
      <w:pPr>
        <w:spacing w:after="0"/>
        <w:ind w:left="0"/>
        <w:jc w:val="both"/>
      </w:pPr>
      <w:r>
        <w:rPr>
          <w:rFonts w:ascii="Times New Roman"/>
          <w:b w:val="false"/>
          <w:i w:val="false"/>
          <w:color w:val="000000"/>
          <w:sz w:val="28"/>
        </w:rPr>
        <w:t>
      дополнить пунктами 4-1 и 4-2 следующего содержания:</w:t>
      </w:r>
    </w:p>
    <w:bookmarkEnd w:id="89"/>
    <w:bookmarkStart w:name="z158" w:id="90"/>
    <w:p>
      <w:pPr>
        <w:spacing w:after="0"/>
        <w:ind w:left="0"/>
        <w:jc w:val="both"/>
      </w:pPr>
      <w:r>
        <w:rPr>
          <w:rFonts w:ascii="Times New Roman"/>
          <w:b w:val="false"/>
          <w:i w:val="false"/>
          <w:color w:val="000000"/>
          <w:sz w:val="28"/>
        </w:rPr>
        <w:t>
      "4-1. При расчете значений пруденциальных нормативов долгосрочные кредитные рейтинги, присвоенные рейтинговыми агентствами, соответствующими критериям, установленным пунктом 4-2 Правил, по международной рейтинговой шкале используются только в отношении иностранных объектов рейтинга.</w:t>
      </w:r>
    </w:p>
    <w:bookmarkEnd w:id="90"/>
    <w:bookmarkStart w:name="z159" w:id="91"/>
    <w:p>
      <w:pPr>
        <w:spacing w:after="0"/>
        <w:ind w:left="0"/>
        <w:jc w:val="both"/>
      </w:pPr>
      <w:r>
        <w:rPr>
          <w:rFonts w:ascii="Times New Roman"/>
          <w:b w:val="false"/>
          <w:i w:val="false"/>
          <w:color w:val="000000"/>
          <w:sz w:val="28"/>
        </w:rPr>
        <w:t>
      4-2. Для целей Правил уполномоченным органом признаются рейтинговые оценки рейтинговых агентств, соответствующих следующим критериям:</w:t>
      </w:r>
    </w:p>
    <w:bookmarkEnd w:id="91"/>
    <w:bookmarkStart w:name="z160" w:id="92"/>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92"/>
    <w:bookmarkStart w:name="z161" w:id="93"/>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93"/>
    <w:bookmarkStart w:name="z162" w:id="94"/>
    <w:p>
      <w:pPr>
        <w:spacing w:after="0"/>
        <w:ind w:left="0"/>
        <w:jc w:val="both"/>
      </w:pPr>
      <w:r>
        <w:rPr>
          <w:rFonts w:ascii="Times New Roman"/>
          <w:b w:val="false"/>
          <w:i w:val="false"/>
          <w:color w:val="000000"/>
          <w:sz w:val="28"/>
        </w:rPr>
        <w:t>
      3) объективность, независимость и ответственность:</w:t>
      </w:r>
    </w:p>
    <w:bookmarkEnd w:id="94"/>
    <w:bookmarkStart w:name="z163" w:id="95"/>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95"/>
    <w:bookmarkStart w:name="z164" w:id="96"/>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квазигосударственными организациями или политическими партиями, которые не вмешиваются в деятельность рейтингового агентства и не имеют влияния на процессы присвоения рейтингов;</w:t>
      </w:r>
    </w:p>
    <w:bookmarkEnd w:id="96"/>
    <w:bookmarkStart w:name="z165" w:id="97"/>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97"/>
    <w:bookmarkStart w:name="z166" w:id="98"/>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98"/>
    <w:bookmarkStart w:name="z167" w:id="99"/>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w:t>
      </w:r>
    </w:p>
    <w:bookmarkEnd w:id="99"/>
    <w:bookmarkStart w:name="z168" w:id="100"/>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иных действий по привлечению клиентов;</w:t>
      </w:r>
    </w:p>
    <w:bookmarkEnd w:id="100"/>
    <w:bookmarkStart w:name="z169" w:id="101"/>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101"/>
    <w:bookmarkStart w:name="z170" w:id="102"/>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102"/>
    <w:bookmarkStart w:name="z171" w:id="103"/>
    <w:p>
      <w:pPr>
        <w:spacing w:after="0"/>
        <w:ind w:left="0"/>
        <w:jc w:val="both"/>
      </w:pPr>
      <w:r>
        <w:rPr>
          <w:rFonts w:ascii="Times New Roman"/>
          <w:b w:val="false"/>
          <w:i w:val="false"/>
          <w:color w:val="000000"/>
          <w:sz w:val="28"/>
        </w:rPr>
        <w:t>
      4) прозрачность и раскрытие информации:</w:t>
      </w:r>
    </w:p>
    <w:bookmarkEnd w:id="103"/>
    <w:bookmarkStart w:name="z172" w:id="104"/>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104"/>
    <w:bookmarkStart w:name="z173" w:id="105"/>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105"/>
    <w:bookmarkStart w:name="z174" w:id="106"/>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w:t>
      </w:r>
    </w:p>
    <w:bookmarkEnd w:id="106"/>
    <w:bookmarkStart w:name="z175" w:id="107"/>
    <w:p>
      <w:pPr>
        <w:spacing w:after="0"/>
        <w:ind w:left="0"/>
        <w:jc w:val="both"/>
      </w:pPr>
      <w:r>
        <w:rPr>
          <w:rFonts w:ascii="Times New Roman"/>
          <w:b w:val="false"/>
          <w:i w:val="false"/>
          <w:color w:val="000000"/>
          <w:sz w:val="28"/>
        </w:rPr>
        <w:t>
      5) надежность рейтингов:</w:t>
      </w:r>
    </w:p>
    <w:bookmarkEnd w:id="107"/>
    <w:bookmarkStart w:name="z176" w:id="108"/>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пяти последних лет;</w:t>
      </w:r>
    </w:p>
    <w:bookmarkEnd w:id="108"/>
    <w:bookmarkStart w:name="z177" w:id="109"/>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три года не менее двадцати, из них не менее пяти являлись финансовыми организациями;</w:t>
      </w:r>
    </w:p>
    <w:bookmarkEnd w:id="109"/>
    <w:bookmarkStart w:name="z178" w:id="110"/>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110"/>
    <w:bookmarkStart w:name="z179" w:id="111"/>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111"/>
    <w:bookmarkStart w:name="z180" w:id="112"/>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112"/>
    <w:bookmarkStart w:name="z181" w:id="113"/>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календарного года с даты присвоения или последнего пересмотра рейтинга или даты последнего пересмотра применяемой методологии.</w:t>
      </w:r>
    </w:p>
    <w:bookmarkEnd w:id="113"/>
    <w:bookmarkStart w:name="z182" w:id="114"/>
    <w:p>
      <w:pPr>
        <w:spacing w:after="0"/>
        <w:ind w:left="0"/>
        <w:jc w:val="both"/>
      </w:pPr>
      <w:r>
        <w:rPr>
          <w:rFonts w:ascii="Times New Roman"/>
          <w:b w:val="false"/>
          <w:i w:val="false"/>
          <w:color w:val="000000"/>
          <w:sz w:val="28"/>
        </w:rPr>
        <w:t>
      При соответствии критериям, установленным подпунктами 1), 2), 3), 4) и 5) настоящего пункта,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114"/>
    <w:bookmarkStart w:name="z183" w:id="115"/>
    <w:p>
      <w:pPr>
        <w:spacing w:after="0"/>
        <w:ind w:left="0"/>
        <w:jc w:val="both"/>
      </w:pPr>
      <w:r>
        <w:rPr>
          <w:rFonts w:ascii="Times New Roman"/>
          <w:b w:val="false"/>
          <w:i w:val="false"/>
          <w:color w:val="000000"/>
          <w:sz w:val="28"/>
        </w:rPr>
        <w:t xml:space="preserve">
      При соответствии рейтинговых оценок рейтингового агентства уполномоченным органом на официальном интернет-ресурсе в срок не позднее десяти рабочих дней публикуются сведения о рейтинговом агентстве и сопоставимости рейтинговых шкал рейтинговых агентств. </w:t>
      </w:r>
    </w:p>
    <w:bookmarkEnd w:id="115"/>
    <w:bookmarkStart w:name="z184" w:id="116"/>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w:t>
      </w:r>
    </w:p>
    <w:bookmarkEnd w:id="116"/>
    <w:bookmarkStart w:name="z185" w:id="11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следующие изменение и дополнения:</w:t>
      </w:r>
    </w:p>
    <w:bookmarkEnd w:id="117"/>
    <w:bookmarkStart w:name="z186"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8" w:id="119"/>
    <w:p>
      <w:pPr>
        <w:spacing w:after="0"/>
        <w:ind w:left="0"/>
        <w:jc w:val="both"/>
      </w:pPr>
      <w:r>
        <w:rPr>
          <w:rFonts w:ascii="Times New Roman"/>
          <w:b w:val="false"/>
          <w:i w:val="false"/>
          <w:color w:val="000000"/>
          <w:sz w:val="28"/>
        </w:rPr>
        <w:t xml:space="preserve">
      "8.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и рейтинговых агентств, соответствующих критериям, установленным пунктом 8-2 Правил при соблюдении условия, установленного пунктом 8-1 Правил (далее - другие рейтинговые агентства).";</w:t>
      </w:r>
    </w:p>
    <w:bookmarkEnd w:id="119"/>
    <w:bookmarkStart w:name="z189" w:id="120"/>
    <w:p>
      <w:pPr>
        <w:spacing w:after="0"/>
        <w:ind w:left="0"/>
        <w:jc w:val="both"/>
      </w:pPr>
      <w:r>
        <w:rPr>
          <w:rFonts w:ascii="Times New Roman"/>
          <w:b w:val="false"/>
          <w:i w:val="false"/>
          <w:color w:val="000000"/>
          <w:sz w:val="28"/>
        </w:rPr>
        <w:t>
      дополнить пунктами 8-1 и 8-2 следующего содержания:</w:t>
      </w:r>
    </w:p>
    <w:bookmarkEnd w:id="120"/>
    <w:bookmarkStart w:name="z190" w:id="121"/>
    <w:p>
      <w:pPr>
        <w:spacing w:after="0"/>
        <w:ind w:left="0"/>
        <w:jc w:val="both"/>
      </w:pPr>
      <w:r>
        <w:rPr>
          <w:rFonts w:ascii="Times New Roman"/>
          <w:b w:val="false"/>
          <w:i w:val="false"/>
          <w:color w:val="000000"/>
          <w:sz w:val="28"/>
        </w:rPr>
        <w:t>
      "8-1. При расчете значений пруденциальных нормативов долгосрочные кредитные рейтинги, присвоенные рейтинговыми агентствами, соответствующими критериям, установленным пунктом 8-2 Правил, по международной рейтинговой шкале используются только в отношении иностранных объектов рейтинга.</w:t>
      </w:r>
    </w:p>
    <w:bookmarkEnd w:id="121"/>
    <w:bookmarkStart w:name="z191" w:id="122"/>
    <w:p>
      <w:pPr>
        <w:spacing w:after="0"/>
        <w:ind w:left="0"/>
        <w:jc w:val="both"/>
      </w:pPr>
      <w:r>
        <w:rPr>
          <w:rFonts w:ascii="Times New Roman"/>
          <w:b w:val="false"/>
          <w:i w:val="false"/>
          <w:color w:val="000000"/>
          <w:sz w:val="28"/>
        </w:rPr>
        <w:t>
      8-2. Для целей Правил уполномоченным органом признаются рейтинговые оценки рейтинговых агентств, соответствующих следующим критериям:</w:t>
      </w:r>
    </w:p>
    <w:bookmarkEnd w:id="122"/>
    <w:bookmarkStart w:name="z192" w:id="123"/>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123"/>
    <w:bookmarkStart w:name="z193" w:id="124"/>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124"/>
    <w:bookmarkStart w:name="z194" w:id="125"/>
    <w:p>
      <w:pPr>
        <w:spacing w:after="0"/>
        <w:ind w:left="0"/>
        <w:jc w:val="both"/>
      </w:pPr>
      <w:r>
        <w:rPr>
          <w:rFonts w:ascii="Times New Roman"/>
          <w:b w:val="false"/>
          <w:i w:val="false"/>
          <w:color w:val="000000"/>
          <w:sz w:val="28"/>
        </w:rPr>
        <w:t>
      3) объективность, независимость и ответственность:</w:t>
      </w:r>
    </w:p>
    <w:bookmarkEnd w:id="125"/>
    <w:bookmarkStart w:name="z195" w:id="126"/>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126"/>
    <w:bookmarkStart w:name="z196" w:id="127"/>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квазигосударственными организациями или политическими партиями, которые не вмешиваются в деятельность рейтингового агентства и не имеют влияния на процессы присвоения рейтингов;</w:t>
      </w:r>
    </w:p>
    <w:bookmarkEnd w:id="127"/>
    <w:bookmarkStart w:name="z197" w:id="128"/>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128"/>
    <w:bookmarkStart w:name="z198" w:id="129"/>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129"/>
    <w:bookmarkStart w:name="z199" w:id="130"/>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w:t>
      </w:r>
    </w:p>
    <w:bookmarkEnd w:id="130"/>
    <w:bookmarkStart w:name="z200" w:id="131"/>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иных действий по привлечению клиентов;</w:t>
      </w:r>
    </w:p>
    <w:bookmarkEnd w:id="131"/>
    <w:bookmarkStart w:name="z201" w:id="132"/>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132"/>
    <w:bookmarkStart w:name="z202" w:id="133"/>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133"/>
    <w:bookmarkStart w:name="z203" w:id="134"/>
    <w:p>
      <w:pPr>
        <w:spacing w:after="0"/>
        <w:ind w:left="0"/>
        <w:jc w:val="both"/>
      </w:pPr>
      <w:r>
        <w:rPr>
          <w:rFonts w:ascii="Times New Roman"/>
          <w:b w:val="false"/>
          <w:i w:val="false"/>
          <w:color w:val="000000"/>
          <w:sz w:val="28"/>
        </w:rPr>
        <w:t>
      4) прозрачность и раскрытие информации:</w:t>
      </w:r>
    </w:p>
    <w:bookmarkEnd w:id="134"/>
    <w:bookmarkStart w:name="z204" w:id="135"/>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135"/>
    <w:bookmarkStart w:name="z205" w:id="136"/>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136"/>
    <w:bookmarkStart w:name="z206" w:id="137"/>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w:t>
      </w:r>
    </w:p>
    <w:bookmarkEnd w:id="137"/>
    <w:bookmarkStart w:name="z207" w:id="138"/>
    <w:p>
      <w:pPr>
        <w:spacing w:after="0"/>
        <w:ind w:left="0"/>
        <w:jc w:val="both"/>
      </w:pPr>
      <w:r>
        <w:rPr>
          <w:rFonts w:ascii="Times New Roman"/>
          <w:b w:val="false"/>
          <w:i w:val="false"/>
          <w:color w:val="000000"/>
          <w:sz w:val="28"/>
        </w:rPr>
        <w:t>
      5) надежность рейтингов:</w:t>
      </w:r>
    </w:p>
    <w:bookmarkEnd w:id="138"/>
    <w:bookmarkStart w:name="z208" w:id="139"/>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пяти последних лет;</w:t>
      </w:r>
    </w:p>
    <w:bookmarkEnd w:id="139"/>
    <w:bookmarkStart w:name="z209" w:id="140"/>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три года не менее двадцати, из них не менее пяти являлись финансовыми организациями;</w:t>
      </w:r>
    </w:p>
    <w:bookmarkEnd w:id="140"/>
    <w:bookmarkStart w:name="z210" w:id="141"/>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141"/>
    <w:bookmarkStart w:name="z211" w:id="142"/>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142"/>
    <w:bookmarkStart w:name="z212" w:id="143"/>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143"/>
    <w:bookmarkStart w:name="z213" w:id="144"/>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календарного года с даты присвоения или последнего пересмотра рейтинга или даты последнего пересмотра применяемой методологии.</w:t>
      </w:r>
    </w:p>
    <w:bookmarkEnd w:id="144"/>
    <w:bookmarkStart w:name="z214" w:id="145"/>
    <w:p>
      <w:pPr>
        <w:spacing w:after="0"/>
        <w:ind w:left="0"/>
        <w:jc w:val="both"/>
      </w:pPr>
      <w:r>
        <w:rPr>
          <w:rFonts w:ascii="Times New Roman"/>
          <w:b w:val="false"/>
          <w:i w:val="false"/>
          <w:color w:val="000000"/>
          <w:sz w:val="28"/>
        </w:rPr>
        <w:t>
      При соответствии критериям, установленным подпунктами 1), 2), 3), 4) и 5) настоящего пункта,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145"/>
    <w:bookmarkStart w:name="z215" w:id="146"/>
    <w:p>
      <w:pPr>
        <w:spacing w:after="0"/>
        <w:ind w:left="0"/>
        <w:jc w:val="both"/>
      </w:pPr>
      <w:r>
        <w:rPr>
          <w:rFonts w:ascii="Times New Roman"/>
          <w:b w:val="false"/>
          <w:i w:val="false"/>
          <w:color w:val="000000"/>
          <w:sz w:val="28"/>
        </w:rPr>
        <w:t xml:space="preserve">
      При соответствии рейтинговых оценок рейтингового агентства уполномоченным органом на официальном интернет-ресурсе в срок не позднее десяти рабочих дней публикуются сведения о рейтинговом агентстве и сопоставимости рейтинговых шкал рейтинговых агентств. </w:t>
      </w:r>
    </w:p>
    <w:bookmarkEnd w:id="146"/>
    <w:bookmarkStart w:name="z216" w:id="147"/>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