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7666" w14:textId="c4a7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w:t>
      </w:r>
    </w:p>
    <w:p>
      <w:pPr>
        <w:spacing w:after="0"/>
        <w:ind w:left="0"/>
        <w:jc w:val="both"/>
      </w:pPr>
      <w:r>
        <w:rPr>
          <w:rFonts w:ascii="Times New Roman"/>
          <w:b w:val="false"/>
          <w:i w:val="false"/>
          <w:color w:val="000000"/>
          <w:sz w:val="28"/>
        </w:rPr>
        <w:t>Приказ Министра энергетики Республики Казахстан от 31 июля 2023 года № 286. Зарегистрирован в Министерстве юстиции Республики Казахстан 2 августа 2023 года № 33220.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актов за № 10622)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поддержке использования возобновляемых источников энергии"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энергетики Республики Казахстан; </w:t>
      </w:r>
    </w:p>
    <w:bookmarkEnd w:id="5"/>
    <w:bookmarkStart w:name="z12"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 предусмотренных подпунктами 1) и 2) настоящего пункта. </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2023 года № 286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118</w:t>
            </w:r>
          </w:p>
        </w:tc>
      </w:tr>
    </w:tbl>
    <w:bookmarkStart w:name="z19" w:id="10"/>
    <w:p>
      <w:pPr>
        <w:spacing w:after="0"/>
        <w:ind w:left="0"/>
        <w:jc w:val="left"/>
      </w:pPr>
      <w:r>
        <w:rPr>
          <w:rFonts w:ascii="Times New Roman"/>
          <w:b/>
          <w:i w:val="false"/>
          <w:color w:val="000000"/>
        </w:rPr>
        <w:t xml:space="preserve"> Правила определения тарифа на поддержку возобновляемых источников энергии</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определения тарифа на поддержку возобновляемых источников энергии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поддержке использования возобновляемых источников энергии" (далее – Закон) и определяют порядок определения тарифа на поддержку возобновляемых источников энергии.</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4"/>
    <w:bookmarkStart w:name="z24" w:id="15"/>
    <w:p>
      <w:pPr>
        <w:spacing w:after="0"/>
        <w:ind w:left="0"/>
        <w:jc w:val="both"/>
      </w:pPr>
      <w:r>
        <w:rPr>
          <w:rFonts w:ascii="Times New Roman"/>
          <w:b w:val="false"/>
          <w:i w:val="false"/>
          <w:color w:val="000000"/>
          <w:sz w:val="28"/>
        </w:rPr>
        <w:t>
      2) квалифицированные потребители – лицо или группа лиц, в состав которой входят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5"/>
    <w:bookmarkStart w:name="z25" w:id="16"/>
    <w:p>
      <w:pPr>
        <w:spacing w:after="0"/>
        <w:ind w:left="0"/>
        <w:jc w:val="both"/>
      </w:pPr>
      <w:r>
        <w:rPr>
          <w:rFonts w:ascii="Times New Roman"/>
          <w:b w:val="false"/>
          <w:i w:val="false"/>
          <w:color w:val="000000"/>
          <w:sz w:val="28"/>
        </w:rPr>
        <w:t xml:space="preserve">
      3)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 Закона,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w:t>
      </w:r>
    </w:p>
    <w:bookmarkEnd w:id="16"/>
    <w:bookmarkStart w:name="z26" w:id="17"/>
    <w:p>
      <w:pPr>
        <w:spacing w:after="0"/>
        <w:ind w:left="0"/>
        <w:jc w:val="both"/>
      </w:pPr>
      <w:r>
        <w:rPr>
          <w:rFonts w:ascii="Times New Roman"/>
          <w:b w:val="false"/>
          <w:i w:val="false"/>
          <w:color w:val="000000"/>
          <w:sz w:val="28"/>
        </w:rPr>
        <w:t>
      4) тариф на поддержку возобновляемых источников энергии – тариф на продажу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устанавливаемый единым закупщиком электрической энергии для квалифицированных потребителей, промышленных комплексов и прямых потребителей;</w:t>
      </w:r>
    </w:p>
    <w:bookmarkEnd w:id="17"/>
    <w:bookmarkStart w:name="z27" w:id="18"/>
    <w:p>
      <w:pPr>
        <w:spacing w:after="0"/>
        <w:ind w:left="0"/>
        <w:jc w:val="both"/>
      </w:pPr>
      <w:r>
        <w:rPr>
          <w:rFonts w:ascii="Times New Roman"/>
          <w:b w:val="false"/>
          <w:i w:val="false"/>
          <w:color w:val="000000"/>
          <w:sz w:val="28"/>
        </w:rPr>
        <w:t>
      5)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18"/>
    <w:bookmarkStart w:name="z28" w:id="19"/>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19"/>
    <w:bookmarkStart w:name="z29" w:id="20"/>
    <w:p>
      <w:pPr>
        <w:spacing w:after="0"/>
        <w:ind w:left="0"/>
        <w:jc w:val="both"/>
      </w:pPr>
      <w:r>
        <w:rPr>
          <w:rFonts w:ascii="Times New Roman"/>
          <w:b w:val="false"/>
          <w:i w:val="false"/>
          <w:color w:val="000000"/>
          <w:sz w:val="28"/>
        </w:rPr>
        <w:t>
      7)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w:t>
      </w:r>
    </w:p>
    <w:bookmarkEnd w:id="20"/>
    <w:bookmarkStart w:name="z30" w:id="21"/>
    <w:p>
      <w:pPr>
        <w:spacing w:after="0"/>
        <w:ind w:left="0"/>
        <w:jc w:val="both"/>
      </w:pPr>
      <w:r>
        <w:rPr>
          <w:rFonts w:ascii="Times New Roman"/>
          <w:b w:val="false"/>
          <w:i w:val="false"/>
          <w:color w:val="000000"/>
          <w:sz w:val="28"/>
        </w:rPr>
        <w:t>
      8)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21"/>
    <w:bookmarkStart w:name="z31" w:id="22"/>
    <w:p>
      <w:pPr>
        <w:spacing w:after="0"/>
        <w:ind w:left="0"/>
        <w:jc w:val="both"/>
      </w:pPr>
      <w:r>
        <w:rPr>
          <w:rFonts w:ascii="Times New Roman"/>
          <w:b w:val="false"/>
          <w:i w:val="false"/>
          <w:color w:val="000000"/>
          <w:sz w:val="28"/>
        </w:rPr>
        <w:t>
      9)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2"/>
    <w:bookmarkStart w:name="z32" w:id="23"/>
    <w:p>
      <w:pPr>
        <w:spacing w:after="0"/>
        <w:ind w:left="0"/>
        <w:jc w:val="both"/>
      </w:pPr>
      <w:r>
        <w:rPr>
          <w:rFonts w:ascii="Times New Roman"/>
          <w:b w:val="false"/>
          <w:i w:val="false"/>
          <w:color w:val="000000"/>
          <w:sz w:val="28"/>
        </w:rPr>
        <w:t>
      10)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3"/>
    <w:bookmarkStart w:name="z33" w:id="24"/>
    <w:p>
      <w:pPr>
        <w:spacing w:after="0"/>
        <w:ind w:left="0"/>
        <w:jc w:val="both"/>
      </w:pPr>
      <w:r>
        <w:rPr>
          <w:rFonts w:ascii="Times New Roman"/>
          <w:b w:val="false"/>
          <w:i w:val="false"/>
          <w:color w:val="000000"/>
          <w:sz w:val="28"/>
        </w:rPr>
        <w:t>
      11)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w:t>
      </w:r>
    </w:p>
    <w:bookmarkEnd w:id="24"/>
    <w:bookmarkStart w:name="z34" w:id="25"/>
    <w:p>
      <w:pPr>
        <w:spacing w:after="0"/>
        <w:ind w:left="0"/>
        <w:jc w:val="both"/>
      </w:pPr>
      <w:r>
        <w:rPr>
          <w:rFonts w:ascii="Times New Roman"/>
          <w:b w:val="false"/>
          <w:i w:val="false"/>
          <w:color w:val="000000"/>
          <w:sz w:val="28"/>
        </w:rPr>
        <w:t>
      12) операционные затраты – затраты, связанные с осуществлением деятельности единого закупщика электрической энергии;</w:t>
      </w:r>
    </w:p>
    <w:bookmarkEnd w:id="25"/>
    <w:bookmarkStart w:name="z35" w:id="26"/>
    <w:p>
      <w:pPr>
        <w:spacing w:after="0"/>
        <w:ind w:left="0"/>
        <w:jc w:val="both"/>
      </w:pPr>
      <w:r>
        <w:rPr>
          <w:rFonts w:ascii="Times New Roman"/>
          <w:b w:val="false"/>
          <w:i w:val="false"/>
          <w:color w:val="000000"/>
          <w:sz w:val="28"/>
        </w:rPr>
        <w:t>
      13)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26"/>
    <w:bookmarkStart w:name="z36" w:id="27"/>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7"/>
    <w:bookmarkStart w:name="z37" w:id="28"/>
    <w:p>
      <w:pPr>
        <w:spacing w:after="0"/>
        <w:ind w:left="0"/>
        <w:jc w:val="both"/>
      </w:pPr>
      <w:r>
        <w:rPr>
          <w:rFonts w:ascii="Times New Roman"/>
          <w:b w:val="false"/>
          <w:i w:val="false"/>
          <w:color w:val="000000"/>
          <w:sz w:val="28"/>
        </w:rPr>
        <w:t>
      15)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вторичных энергетических ресурсов, объектом по энергетической утилизации отходов, и паводковой электрической энергии;</w:t>
      </w:r>
    </w:p>
    <w:bookmarkEnd w:id="28"/>
    <w:bookmarkStart w:name="z38" w:id="29"/>
    <w:p>
      <w:pPr>
        <w:spacing w:after="0"/>
        <w:ind w:left="0"/>
        <w:jc w:val="both"/>
      </w:pPr>
      <w:r>
        <w:rPr>
          <w:rFonts w:ascii="Times New Roman"/>
          <w:b w:val="false"/>
          <w:i w:val="false"/>
          <w:color w:val="000000"/>
          <w:sz w:val="28"/>
        </w:rPr>
        <w:t xml:space="preserve">
      16) единый закупщик электрической энергии – юридическое лицо со сто процентным государственным участием, определяемое уполномоченным органом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1 Закона Республики Казахстан "Об электроэнергетике", осуществляющее централизованную покупку и централизованную продажу плановых объемов электрической энергии в порядке, предусмотренном указанным </w:t>
      </w:r>
      <w:r>
        <w:rPr>
          <w:rFonts w:ascii="Times New Roman"/>
          <w:b w:val="false"/>
          <w:i w:val="false"/>
          <w:color w:val="000000"/>
          <w:sz w:val="28"/>
        </w:rPr>
        <w:t>Законом</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17)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двухсторонними договорами;</w:t>
      </w:r>
    </w:p>
    <w:bookmarkEnd w:id="30"/>
    <w:bookmarkStart w:name="z40" w:id="31"/>
    <w:p>
      <w:pPr>
        <w:spacing w:after="0"/>
        <w:ind w:left="0"/>
        <w:jc w:val="both"/>
      </w:pPr>
      <w:r>
        <w:rPr>
          <w:rFonts w:ascii="Times New Roman"/>
          <w:b w:val="false"/>
          <w:i w:val="false"/>
          <w:color w:val="000000"/>
          <w:sz w:val="28"/>
        </w:rPr>
        <w:t>
      18)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31"/>
    <w:bookmarkStart w:name="z41" w:id="32"/>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32"/>
    <w:bookmarkStart w:name="z42" w:id="33"/>
    <w:p>
      <w:pPr>
        <w:spacing w:after="0"/>
        <w:ind w:left="0"/>
        <w:jc w:val="left"/>
      </w:pPr>
      <w:r>
        <w:rPr>
          <w:rFonts w:ascii="Times New Roman"/>
          <w:b/>
          <w:i w:val="false"/>
          <w:color w:val="000000"/>
        </w:rPr>
        <w:t xml:space="preserve"> Глава 2. Порядок определения прогнозного тарифа на поддержку возобновляемых источников энергии Единого закупщика электрической энергии на продажу электрической энергии на предстоящий календарный год</w:t>
      </w:r>
    </w:p>
    <w:bookmarkEnd w:id="33"/>
    <w:bookmarkStart w:name="z43" w:id="34"/>
    <w:p>
      <w:pPr>
        <w:spacing w:after="0"/>
        <w:ind w:left="0"/>
        <w:jc w:val="both"/>
      </w:pPr>
      <w:r>
        <w:rPr>
          <w:rFonts w:ascii="Times New Roman"/>
          <w:b w:val="false"/>
          <w:i w:val="false"/>
          <w:color w:val="000000"/>
          <w:sz w:val="28"/>
        </w:rPr>
        <w:t>
      3. Субъекты оптового рынка электрической энергии ежегодно к первому октября направляют Единому закупщику электрической энергии информацию о прогнозных объемах отпуска в сети и потребления электрической энергии на прогнозируемый год с разбивкой по месяцам, по формам согласно приложению к Правилам.</w:t>
      </w:r>
    </w:p>
    <w:bookmarkEnd w:id="34"/>
    <w:bookmarkStart w:name="z44" w:id="35"/>
    <w:p>
      <w:pPr>
        <w:spacing w:after="0"/>
        <w:ind w:left="0"/>
        <w:jc w:val="both"/>
      </w:pPr>
      <w:r>
        <w:rPr>
          <w:rFonts w:ascii="Times New Roman"/>
          <w:b w:val="false"/>
          <w:i w:val="false"/>
          <w:color w:val="000000"/>
          <w:sz w:val="28"/>
        </w:rPr>
        <w:t>
      4. Единый закупщик электрической энергии ежегодно до 30 декабря предшествующего прогнозному года на основе фактических данных для действующих энергопроизводящих организаций, использующих возобновляемые источники энергии, энергетическую утилизацию отходов, и прогнозных данных для планируемых к вводу энергопроизводящих организаций, использующих возобновляемые источники энергии, энергетическую утилизацию отходов, осуществляет:</w:t>
      </w:r>
    </w:p>
    <w:bookmarkEnd w:id="35"/>
    <w:bookmarkStart w:name="z45" w:id="36"/>
    <w:p>
      <w:pPr>
        <w:spacing w:after="0"/>
        <w:ind w:left="0"/>
        <w:jc w:val="both"/>
      </w:pPr>
      <w:r>
        <w:rPr>
          <w:rFonts w:ascii="Times New Roman"/>
          <w:b w:val="false"/>
          <w:i w:val="false"/>
          <w:color w:val="000000"/>
          <w:sz w:val="28"/>
        </w:rPr>
        <w:t>
      1) расчет прогнозного совокупного производства электрической энергии энергопроизводящих организаций, использующих возобновляемые источники энергии, энергетическую утилизацию отходов на прогнозируемый календарный год в разрезе по месяцам;</w:t>
      </w:r>
    </w:p>
    <w:bookmarkEnd w:id="36"/>
    <w:bookmarkStart w:name="z46" w:id="37"/>
    <w:p>
      <w:pPr>
        <w:spacing w:after="0"/>
        <w:ind w:left="0"/>
        <w:jc w:val="both"/>
      </w:pPr>
      <w:r>
        <w:rPr>
          <w:rFonts w:ascii="Times New Roman"/>
          <w:b w:val="false"/>
          <w:i w:val="false"/>
          <w:color w:val="000000"/>
          <w:sz w:val="28"/>
        </w:rPr>
        <w:t>
      2) расчет прогнозируемых затрат на поддержку использования возобновляемых источников энергии в расчете на один киловатт-час электрической энергии, произведенной из всех видов возобновляемых источников энергии, энергетической утилизацией отходов, в разрезе по месяцам.</w:t>
      </w:r>
    </w:p>
    <w:bookmarkEnd w:id="37"/>
    <w:bookmarkStart w:name="z47" w:id="38"/>
    <w:p>
      <w:pPr>
        <w:spacing w:after="0"/>
        <w:ind w:left="0"/>
        <w:jc w:val="both"/>
      </w:pPr>
      <w:r>
        <w:rPr>
          <w:rFonts w:ascii="Times New Roman"/>
          <w:b w:val="false"/>
          <w:i w:val="false"/>
          <w:color w:val="000000"/>
          <w:sz w:val="28"/>
        </w:rPr>
        <w:t>
      При этом, прогнозные объемы производства электрической энергии для действующих энергопроизводящих организаций, использующих возобновляемые источники энергии, энергетическую утилизацию отходов, на основании фактических данных в соответствии с настоящим пунктом определяются как среднее по каждому месяцу за предыдущие два года значение фактического производства электроэнергии. Данное значение рассчитывается для энергопроизводящих организаций, использующих возобновляемые источники энергии, энергетическую утилизацию отходов, введенных в эксплуатацию на полную установленную мощность и отработавших не менее одного календарного года.</w:t>
      </w:r>
    </w:p>
    <w:bookmarkEnd w:id="38"/>
    <w:bookmarkStart w:name="z48" w:id="39"/>
    <w:p>
      <w:pPr>
        <w:spacing w:after="0"/>
        <w:ind w:left="0"/>
        <w:jc w:val="both"/>
      </w:pPr>
      <w:r>
        <w:rPr>
          <w:rFonts w:ascii="Times New Roman"/>
          <w:b w:val="false"/>
          <w:i w:val="false"/>
          <w:color w:val="000000"/>
          <w:sz w:val="28"/>
        </w:rPr>
        <w:t>
      Прогнозные объемы производства электрической энергии для действующих энергопроизводящих организаций, использующих возобновляемые источники энергии, энергетическую утилизацию отходов, введенных в эксплуатацию не на полную установленную мощность и (или) отработавших менее одного календарного года, определяются на основании предоставленных писем.</w:t>
      </w:r>
    </w:p>
    <w:bookmarkEnd w:id="39"/>
    <w:bookmarkStart w:name="z49" w:id="40"/>
    <w:p>
      <w:pPr>
        <w:spacing w:after="0"/>
        <w:ind w:left="0"/>
        <w:jc w:val="both"/>
      </w:pPr>
      <w:r>
        <w:rPr>
          <w:rFonts w:ascii="Times New Roman"/>
          <w:b w:val="false"/>
          <w:i w:val="false"/>
          <w:color w:val="000000"/>
          <w:sz w:val="28"/>
        </w:rPr>
        <w:t>
      Прогнозные объемы производства электрической энергии для планируемых к вводу энергопроизводящих организаций, использующих возобновляемые источники энергии, энергетическую утилизацию отходов, определяются на основании сроков предоставления актов ввода в эксплуатацию по заключенным договорам или сроков, указанных в предоставленных письмах.</w:t>
      </w:r>
    </w:p>
    <w:bookmarkEnd w:id="40"/>
    <w:bookmarkStart w:name="z50" w:id="41"/>
    <w:p>
      <w:pPr>
        <w:spacing w:after="0"/>
        <w:ind w:left="0"/>
        <w:jc w:val="both"/>
      </w:pPr>
      <w:r>
        <w:rPr>
          <w:rFonts w:ascii="Times New Roman"/>
          <w:b w:val="false"/>
          <w:i w:val="false"/>
          <w:color w:val="000000"/>
          <w:sz w:val="28"/>
        </w:rPr>
        <w:t>
      Прогнозное значение тарифа на поддержку возобновляемых источников энергии рассчитывается единым закупщиком электрической энергии ежегодно на предстоящий календарный год в разрезе месяцев по следующей формуле:</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9469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596900"/>
                    </a:xfrm>
                    <a:prstGeom prst="rect">
                      <a:avLst/>
                    </a:prstGeom>
                  </pic:spPr>
                </pic:pic>
              </a:graphicData>
            </a:graphic>
          </wp:inline>
        </w:drawing>
      </w:r>
    </w:p>
    <w:p>
      <w:pPr>
        <w:spacing w:after="0"/>
        <w:ind w:left="0"/>
        <w:jc w:val="left"/>
      </w:pPr>
      <w:r>
        <w:rPr>
          <w:rFonts w:ascii="Times New Roman"/>
          <w:b w:val="false"/>
          <w:i w:val="false"/>
          <w:color w:val="000000"/>
          <w:sz w:val="28"/>
        </w:rPr>
        <w:t>– прогнозное значение тарифа на поддержку возобновляемых источников энергии на предстоящий календарный год в разрезе месяцев, в тенге/кВт*ч (округляется до десятитысячных), без НДС;</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80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0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или с расчетно-финансовым центром, в тенге/кВт*ч, без НДС;</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76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65300" cy="4445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планирует выработать в предстоящем календарном году в рамках долгосрочного договора купли – продажи электрической энергии, заключенного с единым закупщиком электрической энергии или с расчетно-финансовым центром, в кВт*ч (округляется до целых);</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сумма по </w:t>
      </w:r>
    </w:p>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порядковый номер, изменяющийся от 1 до p;</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 – продажи электрической энергии или с расчетно-финансовым центром;</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1536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508000"/>
                    </a:xfrm>
                    <a:prstGeom prst="rect">
                      <a:avLst/>
                    </a:prstGeom>
                  </pic:spPr>
                </pic:pic>
              </a:graphicData>
            </a:graphic>
          </wp:inline>
        </w:drawing>
      </w:r>
    </w:p>
    <w:p>
      <w:pPr>
        <w:spacing w:after="0"/>
        <w:ind w:left="0"/>
        <w:jc w:val="left"/>
      </w:pPr>
      <w:r>
        <w:rPr>
          <w:rFonts w:ascii="Times New Roman"/>
          <w:b w:val="false"/>
          <w:i w:val="false"/>
          <w:color w:val="000000"/>
          <w:sz w:val="28"/>
        </w:rPr>
        <w:t>– прогнозные затраты единого закупщика электрической энергии на услуги по организации балансирования производства-потребления электрической энергии в предстоящем календарном году, в тенге (округляется до десятых), определяемые по следующей формуле:</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864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64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22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2300" cy="5080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в предстоящем календарном году, в тенге/кВт*ч, без НДС;</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612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12900" cy="546100"/>
                    </a:xfrm>
                    <a:prstGeom prst="rect">
                      <a:avLst/>
                    </a:prstGeom>
                  </pic:spPr>
                </pic:pic>
              </a:graphicData>
            </a:graphic>
          </wp:inline>
        </w:drawing>
      </w:r>
    </w:p>
    <w:p>
      <w:pPr>
        <w:spacing w:after="0"/>
        <w:ind w:left="0"/>
        <w:jc w:val="left"/>
      </w:pPr>
      <w:r>
        <w:rPr>
          <w:rFonts w:ascii="Times New Roman"/>
          <w:b w:val="false"/>
          <w:i w:val="false"/>
          <w:color w:val="000000"/>
          <w:sz w:val="28"/>
        </w:rPr>
        <w:t>– затраты единого закупщика электрической энергии, планируемые на балансирующем рынке электрической энергии (за вычетом доходов), в предстоящем календарном году, в тенге (округляется до десятых);</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689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89100" cy="482600"/>
                    </a:xfrm>
                    <a:prstGeom prst="rect">
                      <a:avLst/>
                    </a:prstGeom>
                  </pic:spPr>
                </pic:pic>
              </a:graphicData>
            </a:graphic>
          </wp:inline>
        </w:drawing>
      </w:r>
    </w:p>
    <w:p>
      <w:pPr>
        <w:spacing w:after="0"/>
        <w:ind w:left="0"/>
        <w:jc w:val="left"/>
      </w:pPr>
      <w:r>
        <w:rPr>
          <w:rFonts w:ascii="Times New Roman"/>
          <w:b w:val="false"/>
          <w:i w:val="false"/>
          <w:color w:val="000000"/>
          <w:sz w:val="28"/>
        </w:rPr>
        <w:t>– прогнозные затраты единого закупщика электрической энергии, связанные с осуществлением его деятельности, в предстоящем календарном году, в тенге (округляется до десятых);</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7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584200"/>
                    </a:xfrm>
                    <a:prstGeom prst="rect">
                      <a:avLst/>
                    </a:prstGeom>
                  </pic:spPr>
                </pic:pic>
              </a:graphicData>
            </a:graphic>
          </wp:inline>
        </w:drawing>
      </w:r>
    </w:p>
    <w:p>
      <w:pPr>
        <w:spacing w:after="0"/>
        <w:ind w:left="0"/>
        <w:jc w:val="left"/>
      </w:pPr>
      <w:r>
        <w:rPr>
          <w:rFonts w:ascii="Times New Roman"/>
          <w:b w:val="false"/>
          <w:i w:val="false"/>
          <w:color w:val="000000"/>
          <w:sz w:val="28"/>
        </w:rPr>
        <w:t>– прогнозные затраты единого закупщика электрической энергии на формирование резервного фонда в предстоящем календарном году, в тенге (округляется до десятых).</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5. Единый закупщик электрической энергии ежегодно не позднее пятнадцатого января текущего года публикует тарифы на поддержку возобновляемых источников энергии на прогнозируемый календарный год в разрезе месяцев.</w:t>
      </w:r>
    </w:p>
    <w:bookmarkEnd w:id="55"/>
    <w:bookmarkStart w:name="z65" w:id="56"/>
    <w:p>
      <w:pPr>
        <w:spacing w:after="0"/>
        <w:ind w:left="0"/>
        <w:jc w:val="both"/>
      </w:pPr>
      <w:r>
        <w:rPr>
          <w:rFonts w:ascii="Times New Roman"/>
          <w:b w:val="false"/>
          <w:i w:val="false"/>
          <w:color w:val="000000"/>
          <w:sz w:val="28"/>
        </w:rPr>
        <w:t>
      6. На первый год введения Единого закупщика электрической энергии определение прогнозного тарифа на поддержку возобновляемых источников энергии Единого закупщика электрической энергии на продажу электрической энергии на предстоящий календарный год не производится.</w:t>
      </w:r>
    </w:p>
    <w:bookmarkEnd w:id="56"/>
    <w:bookmarkStart w:name="z66" w:id="57"/>
    <w:p>
      <w:pPr>
        <w:spacing w:after="0"/>
        <w:ind w:left="0"/>
        <w:jc w:val="left"/>
      </w:pPr>
      <w:r>
        <w:rPr>
          <w:rFonts w:ascii="Times New Roman"/>
          <w:b/>
          <w:i w:val="false"/>
          <w:color w:val="000000"/>
        </w:rPr>
        <w:t xml:space="preserve"> Глава 3. Порядок определения прогнозного тарифа на поддержку возобновляемых источников энергии Единого закупщика электрической энергии на продажу электрической энергии на предстоящий расчетный период (календарный месяц)</w:t>
      </w:r>
    </w:p>
    <w:bookmarkEnd w:id="57"/>
    <w:bookmarkStart w:name="z67" w:id="58"/>
    <w:p>
      <w:pPr>
        <w:spacing w:after="0"/>
        <w:ind w:left="0"/>
        <w:jc w:val="both"/>
      </w:pPr>
      <w:r>
        <w:rPr>
          <w:rFonts w:ascii="Times New Roman"/>
          <w:b w:val="false"/>
          <w:i w:val="false"/>
          <w:color w:val="000000"/>
          <w:sz w:val="28"/>
        </w:rPr>
        <w:t>
      7. Прогнозные значения тарифа на поддержку возобновляемых источников энергии на первые два месяца функционирования единого закупщика электрической энергии рассчитываются единым закупщиком электрической энергии в следующем порядке:</w:t>
      </w:r>
    </w:p>
    <w:bookmarkEnd w:id="58"/>
    <w:bookmarkStart w:name="z68" w:id="59"/>
    <w:p>
      <w:pPr>
        <w:spacing w:after="0"/>
        <w:ind w:left="0"/>
        <w:jc w:val="both"/>
      </w:pPr>
      <w:r>
        <w:rPr>
          <w:rFonts w:ascii="Times New Roman"/>
          <w:b w:val="false"/>
          <w:i w:val="false"/>
          <w:color w:val="000000"/>
          <w:sz w:val="28"/>
        </w:rPr>
        <w:t>
      1) на основе фактических значений тарифа на поддержку возобновляемых источников энергии за май месяц 2023 года, рассчитывается 24 (двадцать четыре) значения типовой часовой цены;</w:t>
      </w:r>
    </w:p>
    <w:bookmarkEnd w:id="59"/>
    <w:bookmarkStart w:name="z69" w:id="60"/>
    <w:p>
      <w:pPr>
        <w:spacing w:after="0"/>
        <w:ind w:left="0"/>
        <w:jc w:val="both"/>
      </w:pPr>
      <w:r>
        <w:rPr>
          <w:rFonts w:ascii="Times New Roman"/>
          <w:b w:val="false"/>
          <w:i w:val="false"/>
          <w:color w:val="000000"/>
          <w:sz w:val="28"/>
        </w:rPr>
        <w:t>
      2) рассчитанные значения типовой часовой цены применяются к соответствующим часам на июль, август 2023 года, и становятся соответствующими прогнозными значениями тарифа на поддержку возобновляемых источников энергии на июль, август 2023 года.</w:t>
      </w:r>
    </w:p>
    <w:bookmarkEnd w:id="60"/>
    <w:bookmarkStart w:name="z70" w:id="61"/>
    <w:p>
      <w:pPr>
        <w:spacing w:after="0"/>
        <w:ind w:left="0"/>
        <w:jc w:val="both"/>
      </w:pPr>
      <w:r>
        <w:rPr>
          <w:rFonts w:ascii="Times New Roman"/>
          <w:b w:val="false"/>
          <w:i w:val="false"/>
          <w:color w:val="000000"/>
          <w:sz w:val="28"/>
        </w:rPr>
        <w:t>
      Каждое из 24 (двадцати четырех) значений типового часового тарифа рассчитывается по следующей формуле:</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140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40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85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i-е значение типового часового тарифа, в тенге/кВт*ч (округляется до десятитысячных), без НДС;</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безразмерный коэффициент, значения которого изменяются от 1 до 24;</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количество часов в сутках;</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76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4953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фактическое значение расчетного тарифа на поддержку возобновляемых источников энергии на i-й час j-х суток на i-й час j-х суток мая 2023 года, в тенге/кВт*ч (округляется до десятитысячных), без НДС;</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на i-й час j-х суток мая 2023 года, в кВт*ч (округляется до целых);</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3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6600" cy="520700"/>
                    </a:xfrm>
                    <a:prstGeom prst="rect">
                      <a:avLst/>
                    </a:prstGeom>
                  </pic:spPr>
                </pic:pic>
              </a:graphicData>
            </a:graphic>
          </wp:inline>
        </w:drawing>
      </w:r>
    </w:p>
    <w:p>
      <w:pPr>
        <w:spacing w:after="0"/>
        <w:ind w:left="0"/>
        <w:jc w:val="left"/>
      </w:pPr>
      <w:r>
        <w:rPr>
          <w:rFonts w:ascii="Times New Roman"/>
          <w:b w:val="false"/>
          <w:i w:val="false"/>
          <w:color w:val="000000"/>
          <w:sz w:val="28"/>
        </w:rPr>
        <w:t>– сумма по ;</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596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406400"/>
                    </a:xfrm>
                    <a:prstGeom prst="rect">
                      <a:avLst/>
                    </a:prstGeom>
                  </pic:spPr>
                </pic:pic>
              </a:graphicData>
            </a:graphic>
          </wp:inline>
        </w:drawing>
      </w:r>
    </w:p>
    <w:p>
      <w:pPr>
        <w:spacing w:after="0"/>
        <w:ind w:left="0"/>
        <w:jc w:val="left"/>
      </w:pPr>
      <w:r>
        <w:rPr>
          <w:rFonts w:ascii="Times New Roman"/>
          <w:b w:val="false"/>
          <w:i w:val="false"/>
          <w:color w:val="000000"/>
          <w:sz w:val="28"/>
        </w:rPr>
        <w:t>порядковый номер, изменяющийся от 1 до</w:t>
      </w:r>
    </w:p>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безразмерный коэффициент, отражающий период, согласованный с уполномоченным органом.</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В качестве исходных цен на продажу электрической энергии, используемых при расчете почасовых средневзвешенных значений тарифа на поддержку возобновляемых источников энергии на i-й час j-х суток мая 2023 года, для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 – продажи электрической энергии, используются цены данных договоров.</w:t>
      </w:r>
    </w:p>
    <w:bookmarkEnd w:id="71"/>
    <w:bookmarkStart w:name="z81" w:id="72"/>
    <w:p>
      <w:pPr>
        <w:spacing w:after="0"/>
        <w:ind w:left="0"/>
        <w:jc w:val="both"/>
      </w:pPr>
      <w:r>
        <w:rPr>
          <w:rFonts w:ascii="Times New Roman"/>
          <w:b w:val="false"/>
          <w:i w:val="false"/>
          <w:color w:val="000000"/>
          <w:sz w:val="28"/>
        </w:rPr>
        <w:t>
      В качестве почасовых объемов электрической энергии на i-й час j-х суток мая 2023 года, используемых при расчете почасовых средневзвешенных значений тарифа на поддержку возобновляемых источников энергии на i-й час j-х суток мая 2023 года, используются часовые объемы производства (продажи) и потребления электрической энергии условных потребителей, включенные в соответствующие суточные графики производства-потребления электрической энергии, утвержденные системным оператором (с учетом корректировок).</w:t>
      </w:r>
    </w:p>
    <w:bookmarkEnd w:id="72"/>
    <w:bookmarkStart w:name="z82" w:id="73"/>
    <w:p>
      <w:pPr>
        <w:spacing w:after="0"/>
        <w:ind w:left="0"/>
        <w:jc w:val="both"/>
      </w:pPr>
      <w:r>
        <w:rPr>
          <w:rFonts w:ascii="Times New Roman"/>
          <w:b w:val="false"/>
          <w:i w:val="false"/>
          <w:color w:val="000000"/>
          <w:sz w:val="28"/>
        </w:rPr>
        <w:t>
      8. Прогнозные значения тарифа на поддержку возобновляемых источников энергии рассчитываются единым закупщиком электрической энергии ежемесячно на предстоящий расчетный период (календарный месяц).</w:t>
      </w:r>
    </w:p>
    <w:bookmarkEnd w:id="73"/>
    <w:bookmarkStart w:name="z83" w:id="74"/>
    <w:p>
      <w:pPr>
        <w:spacing w:after="0"/>
        <w:ind w:left="0"/>
        <w:jc w:val="both"/>
      </w:pPr>
      <w:r>
        <w:rPr>
          <w:rFonts w:ascii="Times New Roman"/>
          <w:b w:val="false"/>
          <w:i w:val="false"/>
          <w:color w:val="000000"/>
          <w:sz w:val="28"/>
        </w:rPr>
        <w:t>
      9. Прогнозные значения тарифа на поддержку возобновляемых источников энергии на предстоящий расчетный период (за исключением июля, августа 2023 года) приравниваются к фактическим значениям тарифа на поддержку возобновляемых источников энергии на часы расчетного периода (календарного месяца), предшествующего текущему расчетному периоду (календарному месяцу).</w:t>
      </w:r>
    </w:p>
    <w:bookmarkEnd w:id="74"/>
    <w:bookmarkStart w:name="z84" w:id="75"/>
    <w:p>
      <w:pPr>
        <w:spacing w:after="0"/>
        <w:ind w:left="0"/>
        <w:jc w:val="both"/>
      </w:pPr>
      <w:r>
        <w:rPr>
          <w:rFonts w:ascii="Times New Roman"/>
          <w:b w:val="false"/>
          <w:i w:val="false"/>
          <w:color w:val="000000"/>
          <w:sz w:val="28"/>
        </w:rPr>
        <w:t xml:space="preserve">
      10. Прогнозные значения тарифа на поддержку возобновляемых источников энергии, определяемые в соответствии с настоящей главой, применяются для целей предоплаты согласно Правилам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№106 (зарегистрирован в Реестре государственной регистрации нормативных правовых актов за №10531).</w:t>
      </w:r>
    </w:p>
    <w:bookmarkEnd w:id="75"/>
    <w:bookmarkStart w:name="z85" w:id="76"/>
    <w:p>
      <w:pPr>
        <w:spacing w:after="0"/>
        <w:ind w:left="0"/>
        <w:jc w:val="left"/>
      </w:pPr>
      <w:r>
        <w:rPr>
          <w:rFonts w:ascii="Times New Roman"/>
          <w:b/>
          <w:i w:val="false"/>
          <w:color w:val="000000"/>
        </w:rPr>
        <w:t xml:space="preserve"> Глава 4. Порядок расчета фактического тарифа на поддержку возобновляемых источников энергии Единого закупщика электрической энергии на продажу электрической энергии на конкретный час суток</w:t>
      </w:r>
    </w:p>
    <w:bookmarkEnd w:id="76"/>
    <w:bookmarkStart w:name="z86" w:id="77"/>
    <w:p>
      <w:pPr>
        <w:spacing w:after="0"/>
        <w:ind w:left="0"/>
        <w:jc w:val="both"/>
      </w:pPr>
      <w:r>
        <w:rPr>
          <w:rFonts w:ascii="Times New Roman"/>
          <w:b w:val="false"/>
          <w:i w:val="false"/>
          <w:color w:val="000000"/>
          <w:sz w:val="28"/>
        </w:rPr>
        <w:t>
      11. Фактическое значение тарифа на поддержку возобновляемых источников энергии за соответствующий час суток расчетного периода (календарного месяца) определяется по следующей формуле: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30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08100" cy="469900"/>
                    </a:xfrm>
                    <a:prstGeom prst="rect">
                      <a:avLst/>
                    </a:prstGeom>
                  </pic:spPr>
                </pic:pic>
              </a:graphicData>
            </a:graphic>
          </wp:inline>
        </w:drawing>
      </w:r>
    </w:p>
    <w:p>
      <w:pPr>
        <w:spacing w:after="0"/>
        <w:ind w:left="0"/>
        <w:jc w:val="left"/>
      </w:pPr>
      <w:r>
        <w:rPr>
          <w:rFonts w:ascii="Times New Roman"/>
          <w:b w:val="false"/>
          <w:i w:val="false"/>
          <w:color w:val="000000"/>
          <w:sz w:val="28"/>
        </w:rPr>
        <w:t>– тариф на поддержку возобновляемых источников энергии за соответствующий час суток расчетного периода (календарного месяца), в тенге/кВт*ч (округляется до десятитысячных);</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04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41400" cy="5461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на поддержку использования возобновляемых источников энергии за соответствующий час суток, приходящиеся на субъектов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дифференциации, а также субъектов оптового рынка электрической энергии, являющихся условными потребителями), в тенге без НДС (округляется до сотых);</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условным потребителем и включенный в соответствующие суточные графики производства-потребления электрической энергии, утвержденные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условных потребителей, купивших электрическую энергию у единого закупщика электрической энергии за соответствующий час суток;</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1117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17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плановые затраты расчетно-финансового центра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с расчетно-финансовым центром долгосрочный договор купли–продажи электрической энергии, определяемые в соответствии с Правилами формирования и использования резервного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исполняющий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№14210) (далее – Правила резервного фонда), в тенге без НДС;</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99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90600" cy="4318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тенге/кВт*ч без НДС (округляется до сотых);</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09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92200" cy="4191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 – продажи электрической энергии, заключенного с единым закупщиком электрической энергии, кВт*ч (округляется до целых);</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028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28700" cy="482600"/>
                    </a:xfrm>
                    <a:prstGeom prst="rect">
                      <a:avLst/>
                    </a:prstGeom>
                  </pic:spPr>
                </pic:pic>
              </a:graphicData>
            </a:graphic>
          </wp:inline>
        </w:drawing>
      </w:r>
    </w:p>
    <w:p>
      <w:pPr>
        <w:spacing w:after="0"/>
        <w:ind w:left="0"/>
        <w:jc w:val="left"/>
      </w:pPr>
      <w:r>
        <w:rPr>
          <w:rFonts w:ascii="Times New Roman"/>
          <w:b w:val="false"/>
          <w:i w:val="false"/>
          <w:color w:val="000000"/>
          <w:sz w:val="28"/>
        </w:rPr>
        <w:t>– цена долгосрочного договора купли – 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тенге/кВт*ч без НДС (округляется до сотых);</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117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17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 – продажи электрической энергии, заключенного с расчетно-финансовым центром, кВт*ч (округляется до целых);</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2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2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3886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886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5000" cy="444500"/>
                    </a:xfrm>
                    <a:prstGeom prst="rect">
                      <a:avLst/>
                    </a:prstGeom>
                  </pic:spPr>
                </pic:pic>
              </a:graphicData>
            </a:graphic>
          </wp:inline>
        </w:drawing>
      </w:r>
    </w:p>
    <w:p>
      <w:pPr>
        <w:spacing w:after="0"/>
        <w:ind w:left="0"/>
        <w:jc w:val="left"/>
      </w:pPr>
      <w:r>
        <w:rPr>
          <w:rFonts w:ascii="Times New Roman"/>
          <w:b w:val="false"/>
          <w:i w:val="false"/>
          <w:color w:val="000000"/>
          <w:sz w:val="28"/>
        </w:rPr>
        <w:t>–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10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168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68400" cy="3556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единым закупщиком электрической энергии долгосрочный договор купли – продажи электрической энергии, в кВт*ч (округляется до целых);</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57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36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36600" cy="4699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421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216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11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112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централизованной покупки и продажи электрической энергии, установленная согласно Правилам ценообразования на общественно значимых рынках,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№14778) (далее – Правила ценообразования), тенге на 1 кВтч;</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74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69900"/>
                    </a:xfrm>
                    <a:prstGeom prst="rect">
                      <a:avLst/>
                    </a:prstGeom>
                  </pic:spPr>
                </pic:pic>
              </a:graphicData>
            </a:graphic>
          </wp:inline>
        </w:drawing>
      </w:r>
    </w:p>
    <w:p>
      <w:pPr>
        <w:spacing w:after="0"/>
        <w:ind w:left="0"/>
        <w:jc w:val="left"/>
      </w:pPr>
      <w:r>
        <w:rPr>
          <w:rFonts w:ascii="Times New Roman"/>
          <w:b w:val="false"/>
          <w:i w:val="false"/>
          <w:color w:val="000000"/>
          <w:sz w:val="28"/>
        </w:rPr>
        <w:t>– объем электрической энергии, купленный за соответствующий час суток у единого закупщика электрической энергии i-м субъектом оптового рынка электрической энергии, в тенге (округляется до целых);</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разница фактических затрат единого закупщика электрической энергии, связанных с осуществлением его деятельности и затрат единого закупщика электрической энергии, связанных с осуществлением его деятельности на календарный год, учтенных при формировании цены централизованной покупки и продажи электрической энергии, устанавливаемой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в тенге (округляется до сотых), рассчитываемая один раз в год по итогам календарного года по следующей формуле:</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361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19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049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единого закупщика электрической энергии, связанные с осуществлением его деятельности на календарный год, учтенные при формировании цены централизованной покупки и продажи электрической энергии, устанавливаемой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в тенге (округляется до сотых);</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781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813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обоснованные затраты единого закупщика электрической энергии в предстоящем календарном году, связанные с осуществлением его деятельности по централизованной покупке и продаже электрической энергии, из расчета на один киловатт-час электрической энергии, сформированные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в тенге (округляется до десятых);</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суммы по </w:t>
      </w:r>
    </w:p>
    <w:p>
      <w:pPr>
        <w:spacing w:after="0"/>
        <w:ind w:left="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порядковый номер, изменяющийся от 1 до r;</w:t>
      </w:r>
      <w:r>
        <w:br/>
      </w:r>
      <w:r>
        <w:rPr>
          <w:rFonts w:ascii="Times New Roman"/>
          <w:b w:val="false"/>
          <w:i w:val="false"/>
          <w:color w:val="000000"/>
          <w:sz w:val="28"/>
        </w:rPr>
        <w:t>
</w:t>
      </w:r>
    </w:p>
    <w:bookmarkStart w:name="z114"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558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58800" cy="279400"/>
                    </a:xfrm>
                    <a:prstGeom prst="rect">
                      <a:avLst/>
                    </a:prstGeom>
                  </pic:spPr>
                </pic:pic>
              </a:graphicData>
            </a:graphic>
          </wp:inline>
        </w:drawing>
      </w:r>
    </w:p>
    <w:p>
      <w:pPr>
        <w:spacing w:after="0"/>
        <w:ind w:left="0"/>
        <w:jc w:val="left"/>
      </w:pPr>
      <w:r>
        <w:rPr>
          <w:rFonts w:ascii="Times New Roman"/>
          <w:b w:val="false"/>
          <w:i w:val="false"/>
          <w:color w:val="000000"/>
          <w:sz w:val="28"/>
        </w:rPr>
        <w:t>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Безразмерный коэффициент, представляющий из себя долю фактических затрат на поддержку использования возобновляемых источников энергии за соответствующий час суток, приходящуюся на субъектов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адресной поддержки, а также субъектов оптового рынка электрической энергии, являющихся условными потребителями) (s), определяется по следующей формуле:</w:t>
      </w:r>
    </w:p>
    <w:bookmarkEnd w:id="106"/>
    <w:bookmarkStart w:name="z11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4546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46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7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7400" cy="495300"/>
                    </a:xfrm>
                    <a:prstGeom prst="rect">
                      <a:avLst/>
                    </a:prstGeom>
                  </pic:spPr>
                </pic:pic>
              </a:graphicData>
            </a:graphic>
          </wp:inline>
        </w:drawing>
      </w:r>
    </w:p>
    <w:p>
      <w:pPr>
        <w:spacing w:after="0"/>
        <w:ind w:left="0"/>
        <w:jc w:val="left"/>
      </w:pPr>
      <w:r>
        <w:rPr>
          <w:rFonts w:ascii="Times New Roman"/>
          <w:b w:val="false"/>
          <w:i w:val="false"/>
          <w:color w:val="000000"/>
          <w:sz w:val="28"/>
        </w:rPr>
        <w:t>– объем потребления электрической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на данный час суток за исключениям двусторонних договоров купли-продажи электрической энергии, заключенных вне единого закупщика электрической энергии, в кВт*ч (округляется до целых);</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80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00100" cy="469900"/>
                    </a:xfrm>
                    <a:prstGeom prst="rect">
                      <a:avLst/>
                    </a:prstGeom>
                  </pic:spPr>
                </pic:pic>
              </a:graphicData>
            </a:graphic>
          </wp:inline>
        </w:drawing>
      </w:r>
    </w:p>
    <w:p>
      <w:pPr>
        <w:spacing w:after="0"/>
        <w:ind w:left="0"/>
        <w:jc w:val="left"/>
      </w:pPr>
      <w:r>
        <w:rPr>
          <w:rFonts w:ascii="Times New Roman"/>
          <w:b w:val="false"/>
          <w:i w:val="false"/>
          <w:color w:val="000000"/>
          <w:sz w:val="28"/>
        </w:rPr>
        <w:t>– объем потребления электрической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на данный час суток условного потребителя, в кВт*ч (округляется до целых);</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1295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95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суммы по </w:t>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304800"/>
                    </a:xfrm>
                    <a:prstGeom prst="rect">
                      <a:avLst/>
                    </a:prstGeom>
                  </pic:spPr>
                </pic:pic>
              </a:graphicData>
            </a:graphic>
          </wp:inline>
        </w:drawing>
      </w:r>
    </w:p>
    <w:p>
      <w:pPr>
        <w:spacing w:after="0"/>
        <w:ind w:left="0"/>
        <w:jc w:val="left"/>
      </w:pPr>
      <w:r>
        <w:rPr>
          <w:rFonts w:ascii="Times New Roman"/>
          <w:b w:val="false"/>
          <w:i w:val="false"/>
          <w:color w:val="000000"/>
          <w:sz w:val="28"/>
        </w:rPr>
        <w:t>– порядковый номер, изменяющийся от 1 до k, r, соответственно;</w:t>
      </w:r>
      <w:r>
        <w:br/>
      </w: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условных потребителей за данный час суток;</w:t>
      </w: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общее количество субъектов оптового рынка электрической энергии за данный час суток.</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12. Затраты на поддержку возобновляемых источников энергии включают в себя:</w:t>
      </w:r>
    </w:p>
    <w:bookmarkEnd w:id="114"/>
    <w:bookmarkStart w:name="z124" w:id="115"/>
    <w:p>
      <w:pPr>
        <w:spacing w:after="0"/>
        <w:ind w:left="0"/>
        <w:jc w:val="both"/>
      </w:pPr>
      <w:r>
        <w:rPr>
          <w:rFonts w:ascii="Times New Roman"/>
          <w:b w:val="false"/>
          <w:i w:val="false"/>
          <w:color w:val="000000"/>
          <w:sz w:val="28"/>
        </w:rPr>
        <w:t>
      1)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15"/>
    <w:bookmarkStart w:name="z125" w:id="116"/>
    <w:p>
      <w:pPr>
        <w:spacing w:after="0"/>
        <w:ind w:left="0"/>
        <w:jc w:val="both"/>
      </w:pPr>
      <w:r>
        <w:rPr>
          <w:rFonts w:ascii="Times New Roman"/>
          <w:b w:val="false"/>
          <w:i w:val="false"/>
          <w:color w:val="000000"/>
          <w:sz w:val="28"/>
        </w:rPr>
        <w:t>
      2)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w:t>
      </w:r>
    </w:p>
    <w:bookmarkEnd w:id="116"/>
    <w:bookmarkStart w:name="z126" w:id="117"/>
    <w:p>
      <w:pPr>
        <w:spacing w:after="0"/>
        <w:ind w:left="0"/>
        <w:jc w:val="both"/>
      </w:pPr>
      <w:r>
        <w:rPr>
          <w:rFonts w:ascii="Times New Roman"/>
          <w:b w:val="false"/>
          <w:i w:val="false"/>
          <w:color w:val="000000"/>
          <w:sz w:val="28"/>
        </w:rPr>
        <w:t xml:space="preserve">
      3) затраты на формирование резервного фонда,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резервного фонда;</w:t>
      </w:r>
    </w:p>
    <w:bookmarkEnd w:id="117"/>
    <w:bookmarkStart w:name="z127" w:id="118"/>
    <w:p>
      <w:pPr>
        <w:spacing w:after="0"/>
        <w:ind w:left="0"/>
        <w:jc w:val="both"/>
      </w:pPr>
      <w:r>
        <w:rPr>
          <w:rFonts w:ascii="Times New Roman"/>
          <w:b w:val="false"/>
          <w:i w:val="false"/>
          <w:color w:val="000000"/>
          <w:sz w:val="28"/>
        </w:rPr>
        <w:t xml:space="preserve">
      4) операционные затраты Единого закупщика электрической энергии,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ценообразования;</w:t>
      </w:r>
    </w:p>
    <w:bookmarkEnd w:id="118"/>
    <w:bookmarkStart w:name="z128" w:id="119"/>
    <w:p>
      <w:pPr>
        <w:spacing w:after="0"/>
        <w:ind w:left="0"/>
        <w:jc w:val="both"/>
      </w:pPr>
      <w:r>
        <w:rPr>
          <w:rFonts w:ascii="Times New Roman"/>
          <w:b w:val="false"/>
          <w:i w:val="false"/>
          <w:color w:val="000000"/>
          <w:sz w:val="28"/>
        </w:rPr>
        <w:t>
      5) затраты Единого закупщика электрической энергии, понесенные на балансирующем рынке электрической энергии (за вычетом доходов).</w:t>
      </w:r>
    </w:p>
    <w:bookmarkEnd w:id="119"/>
    <w:bookmarkStart w:name="z129" w:id="120"/>
    <w:p>
      <w:pPr>
        <w:spacing w:after="0"/>
        <w:ind w:left="0"/>
        <w:jc w:val="both"/>
      </w:pPr>
      <w:r>
        <w:rPr>
          <w:rFonts w:ascii="Times New Roman"/>
          <w:b w:val="false"/>
          <w:i w:val="false"/>
          <w:color w:val="000000"/>
          <w:sz w:val="28"/>
        </w:rPr>
        <w:t xml:space="preserve">
      13. Операционные затраты Единого закупщика электрической энергии ежегодно рассчитываются и утверждаются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тарифа</w:t>
            </w:r>
            <w:r>
              <w:br/>
            </w:r>
            <w:r>
              <w:rPr>
                <w:rFonts w:ascii="Times New Roman"/>
                <w:b w:val="false"/>
                <w:i w:val="false"/>
                <w:color w:val="000000"/>
                <w:sz w:val="20"/>
              </w:rPr>
              <w:t>на поддержку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2" w:id="121"/>
    <w:p>
      <w:pPr>
        <w:spacing w:after="0"/>
        <w:ind w:left="0"/>
        <w:jc w:val="both"/>
      </w:pPr>
      <w:r>
        <w:rPr>
          <w:rFonts w:ascii="Times New Roman"/>
          <w:b w:val="false"/>
          <w:i w:val="false"/>
          <w:color w:val="000000"/>
          <w:sz w:val="28"/>
        </w:rPr>
        <w:t>
      Прогнозные объемы выработки, отпуска в сети электрической энергии ___________________________________________________ на 202_ год (Наименование энергопроизводящей организации, юридического лица)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2"/>
    <w:p>
      <w:pPr>
        <w:spacing w:after="0"/>
        <w:ind w:left="0"/>
        <w:jc w:val="both"/>
      </w:pPr>
      <w:r>
        <w:rPr>
          <w:rFonts w:ascii="Times New Roman"/>
          <w:b w:val="false"/>
          <w:i w:val="false"/>
          <w:color w:val="000000"/>
          <w:sz w:val="28"/>
        </w:rPr>
        <w:t>
      Первый руководитель _________________________________________ (фамилия, имя, отчество (при наличии), подпись)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35" w:id="123"/>
    <w:p>
      <w:pPr>
        <w:spacing w:after="0"/>
        <w:ind w:left="0"/>
        <w:jc w:val="both"/>
      </w:pPr>
      <w:r>
        <w:rPr>
          <w:rFonts w:ascii="Times New Roman"/>
          <w:b w:val="false"/>
          <w:i w:val="false"/>
          <w:color w:val="000000"/>
          <w:sz w:val="28"/>
        </w:rPr>
        <w:t>
      Прогнозные объемы потребления электрической энергии________________________ на 202_ год (наименование потребителя электрической энергии, за исключением субъектов оптового рынка электрической энергии, являющихся условными потребителями)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4"/>
    <w:p>
      <w:pPr>
        <w:spacing w:after="0"/>
        <w:ind w:left="0"/>
        <w:jc w:val="both"/>
      </w:pPr>
      <w:r>
        <w:rPr>
          <w:rFonts w:ascii="Times New Roman"/>
          <w:b w:val="false"/>
          <w:i w:val="false"/>
          <w:color w:val="000000"/>
          <w:sz w:val="28"/>
        </w:rPr>
        <w:t>
      Первый руководитель _________________________________________ (фамилия, имя, отчество (при наличии), подпись)</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38" w:id="125"/>
    <w:p>
      <w:pPr>
        <w:spacing w:after="0"/>
        <w:ind w:left="0"/>
        <w:jc w:val="both"/>
      </w:pPr>
      <w:r>
        <w:rPr>
          <w:rFonts w:ascii="Times New Roman"/>
          <w:b w:val="false"/>
          <w:i w:val="false"/>
          <w:color w:val="000000"/>
          <w:sz w:val="28"/>
        </w:rPr>
        <w:t>
      Прогнозные объемы потребления электрической энергии ________ на 202_ год (Наименование условного потребителя, являющегося прямым потребителем)</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прямым потребителем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6"/>
    <w:p>
      <w:pPr>
        <w:spacing w:after="0"/>
        <w:ind w:left="0"/>
        <w:jc w:val="both"/>
      </w:pPr>
      <w:r>
        <w:rPr>
          <w:rFonts w:ascii="Times New Roman"/>
          <w:b w:val="false"/>
          <w:i w:val="false"/>
          <w:color w:val="000000"/>
          <w:sz w:val="28"/>
        </w:rPr>
        <w:t>
      Первый руководитель условного потребителя, являющегося прямым потребителем электрической энергии _________________________________________ (фамилия, имя, отчество (при наличии), подпись)</w:t>
      </w:r>
    </w:p>
    <w:bookmarkEnd w:id="126"/>
    <w:bookmarkStart w:name="z140" w:id="127"/>
    <w:p>
      <w:pPr>
        <w:spacing w:after="0"/>
        <w:ind w:left="0"/>
        <w:jc w:val="both"/>
      </w:pPr>
      <w:r>
        <w:rPr>
          <w:rFonts w:ascii="Times New Roman"/>
          <w:b w:val="false"/>
          <w:i w:val="false"/>
          <w:color w:val="000000"/>
          <w:sz w:val="28"/>
        </w:rPr>
        <w:t>
      Первый руководитель энергопроизводящей организации ________________________________ (фамилия, имя, отчество (при наличии), подпись)</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42" w:id="128"/>
    <w:p>
      <w:pPr>
        <w:spacing w:after="0"/>
        <w:ind w:left="0"/>
        <w:jc w:val="both"/>
      </w:pPr>
      <w:r>
        <w:rPr>
          <w:rFonts w:ascii="Times New Roman"/>
          <w:b w:val="false"/>
          <w:i w:val="false"/>
          <w:color w:val="000000"/>
          <w:sz w:val="28"/>
        </w:rPr>
        <w:t>
      Прогнозные объемы потребления электрической энергии ________ на 202_ год (Наименование условного потребителя, являющегося промышленным комплексом)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промышленным комплексом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9"/>
    <w:p>
      <w:pPr>
        <w:spacing w:after="0"/>
        <w:ind w:left="0"/>
        <w:jc w:val="both"/>
      </w:pPr>
      <w:r>
        <w:rPr>
          <w:rFonts w:ascii="Times New Roman"/>
          <w:b w:val="false"/>
          <w:i w:val="false"/>
          <w:color w:val="000000"/>
          <w:sz w:val="28"/>
        </w:rPr>
        <w:t>
      Первый руководитель условного потребителя, являющегося промышленным комплексом _________________________________ (фамилия, имя, отчество (при наличии), подпись)</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45" w:id="130"/>
    <w:p>
      <w:pPr>
        <w:spacing w:after="0"/>
        <w:ind w:left="0"/>
        <w:jc w:val="both"/>
      </w:pPr>
      <w:r>
        <w:rPr>
          <w:rFonts w:ascii="Times New Roman"/>
          <w:b w:val="false"/>
          <w:i w:val="false"/>
          <w:color w:val="000000"/>
          <w:sz w:val="28"/>
        </w:rPr>
        <w:t>
      Прогнозные объемы потребления электрической энергии ________ на 202_ год (Наименование условного потребителя, являющегося квалифицированным потребителем)</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потребителя, являющегося квалифицированным потребителем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ЭПО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выработки электрической энергии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ВИЭ</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отпуска в сеть электрической энергии</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Прогнозные объемы потребления электрической энергии от ЭПО</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31"/>
      <w:r>
        <w:rPr>
          <w:rFonts w:ascii="Times New Roman"/>
          <w:b w:val="false"/>
          <w:i w:val="false"/>
          <w:color w:val="000000"/>
          <w:sz w:val="28"/>
        </w:rPr>
        <w:t>
      Первый руководитель условного потребителя, являющегося</w:t>
      </w:r>
    </w:p>
    <w:bookmarkEnd w:id="131"/>
    <w:p>
      <w:pPr>
        <w:spacing w:after="0"/>
        <w:ind w:left="0"/>
        <w:jc w:val="both"/>
      </w:pPr>
      <w:r>
        <w:rPr>
          <w:rFonts w:ascii="Times New Roman"/>
          <w:b w:val="false"/>
          <w:i w:val="false"/>
          <w:color w:val="000000"/>
          <w:sz w:val="28"/>
        </w:rPr>
        <w:t xml:space="preserve"> квалифицированным потребителем 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Первый руководитель энергопроизводящей организации, использующей ВИЭ</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