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df18" w14:textId="32ed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Министра сельского хозяйства Республики Казахстан от 10 июля 2019 года № 259 и Министра национальной экономики Республики Казахстан от 12 июля 2019 года № 63 "Об утверждении критериев оценки степени рисков и проверочных листов в области регулирования рынка зерна"</w:t>
      </w:r>
    </w:p>
    <w:p>
      <w:pPr>
        <w:spacing w:after="0"/>
        <w:ind w:left="0"/>
        <w:jc w:val="both"/>
      </w:pPr>
      <w:r>
        <w:rPr>
          <w:rFonts w:ascii="Times New Roman"/>
          <w:b w:val="false"/>
          <w:i w:val="false"/>
          <w:color w:val="000000"/>
          <w:sz w:val="28"/>
        </w:rPr>
        <w:t>Совместный приказ Министра сельского хозяйства Республики Казахстан от 19 июня 2023 года № 235 и Министра национальной экономики Республики Казахстан от 20 июня 2023 года № 120. Зарегистрирован в Министерстве юстиции Республики Казахстан 21 июня 2023 года № 32867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сельского хозяйства Республики Казахстан от 10 июля 2019 года № 259 и Министра национальной экономики Республики Казахстан от 12 июля 2019 года № 63 "Об утверждении критериев оценки степени рисков и проверочных листов в области регулирования рынка зерна" (зарегистрирован в Реестре государственной регистрации нормативных правовых актов № 19025)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пункта 1 изложить в следующей редакции:</w:t>
      </w:r>
    </w:p>
    <w:bookmarkStart w:name="z7" w:id="2"/>
    <w:p>
      <w:pPr>
        <w:spacing w:after="0"/>
        <w:ind w:left="0"/>
        <w:jc w:val="both"/>
      </w:pPr>
      <w:r>
        <w:rPr>
          <w:rFonts w:ascii="Times New Roman"/>
          <w:b w:val="false"/>
          <w:i w:val="false"/>
          <w:color w:val="000000"/>
          <w:sz w:val="28"/>
        </w:rPr>
        <w:t xml:space="preserve">
      "3-1) проверочный лист в области регулирования рынка зерна для хлебоприемных предприятий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совместному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совместному приказу.</w:t>
      </w:r>
    </w:p>
    <w:bookmarkStart w:name="z9" w:id="3"/>
    <w:p>
      <w:pPr>
        <w:spacing w:after="0"/>
        <w:ind w:left="0"/>
        <w:jc w:val="both"/>
      </w:pPr>
      <w:r>
        <w:rPr>
          <w:rFonts w:ascii="Times New Roman"/>
          <w:b w:val="false"/>
          <w:i w:val="false"/>
          <w:color w:val="000000"/>
          <w:sz w:val="28"/>
        </w:rPr>
        <w:t>
      2. Департаменту земледелия Министерства сельского хозяйства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сельского хозяйства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сельского хозяйства Республики Казахстан.</w:t>
      </w:r>
    </w:p>
    <w:bookmarkEnd w:id="6"/>
    <w:bookmarkStart w:name="z13" w:id="7"/>
    <w:p>
      <w:pPr>
        <w:spacing w:after="0"/>
        <w:ind w:left="0"/>
        <w:jc w:val="both"/>
      </w:pPr>
      <w:r>
        <w:rPr>
          <w:rFonts w:ascii="Times New Roman"/>
          <w:b w:val="false"/>
          <w:i w:val="false"/>
          <w:color w:val="000000"/>
          <w:sz w:val="28"/>
        </w:rPr>
        <w:t>
      4. Настоящий совместный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 Е. Карашукеев</w:t>
            </w:r>
            <w:r>
              <w:rPr>
                <w:rFonts w:ascii="Times New Roman"/>
                <w:b w:val="false"/>
                <w:i w:val="false"/>
                <w:color w:val="000000"/>
                <w:sz w:val="20"/>
              </w:rPr>
              <w:t>
</w:t>
            </w:r>
          </w:p>
        </w:tc>
      </w:tr>
    </w:tbl>
    <w:p>
      <w:pPr>
        <w:spacing w:after="0"/>
        <w:ind w:left="0"/>
        <w:jc w:val="both"/>
      </w:pPr>
      <w:bookmarkStart w:name="z16"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июня 2023 года № 120</w:t>
            </w:r>
            <w:r>
              <w:br/>
            </w:r>
            <w:r>
              <w:rPr>
                <w:rFonts w:ascii="Times New Roman"/>
                <w:b w:val="false"/>
                <w:i w:val="false"/>
                <w:color w:val="000000"/>
                <w:sz w:val="20"/>
              </w:rPr>
              <w:t>и 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2023 года № 235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2019 года № 259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2019 года № 63</w:t>
            </w:r>
          </w:p>
        </w:tc>
      </w:tr>
    </w:tbl>
    <w:bookmarkStart w:name="z19" w:id="9"/>
    <w:p>
      <w:pPr>
        <w:spacing w:after="0"/>
        <w:ind w:left="0"/>
        <w:jc w:val="left"/>
      </w:pPr>
      <w:r>
        <w:rPr>
          <w:rFonts w:ascii="Times New Roman"/>
          <w:b/>
          <w:i w:val="false"/>
          <w:color w:val="000000"/>
        </w:rPr>
        <w:t xml:space="preserve"> Критерии оценки степени рисков в области регулирования рынка зерна</w:t>
      </w:r>
    </w:p>
    <w:bookmarkEnd w:id="9"/>
    <w:bookmarkStart w:name="z20" w:id="10"/>
    <w:p>
      <w:pPr>
        <w:spacing w:after="0"/>
        <w:ind w:left="0"/>
        <w:jc w:val="left"/>
      </w:pPr>
      <w:r>
        <w:rPr>
          <w:rFonts w:ascii="Times New Roman"/>
          <w:b/>
          <w:i w:val="false"/>
          <w:color w:val="000000"/>
        </w:rPr>
        <w:t xml:space="preserve"> Глава 1. Общие положения</w:t>
      </w:r>
    </w:p>
    <w:bookmarkEnd w:id="10"/>
    <w:bookmarkStart w:name="z21" w:id="11"/>
    <w:p>
      <w:pPr>
        <w:spacing w:after="0"/>
        <w:ind w:left="0"/>
        <w:jc w:val="both"/>
      </w:pPr>
      <w:r>
        <w:rPr>
          <w:rFonts w:ascii="Times New Roman"/>
          <w:b w:val="false"/>
          <w:i w:val="false"/>
          <w:color w:val="000000"/>
          <w:sz w:val="28"/>
        </w:rPr>
        <w:t xml:space="preserve">
      1. Настоящие Критерии оценки степени рисков в области регулирования рынка зерна (далее – Критерии)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Предпринимательского кодекса Республики Казахстан (далее – Кодекс),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 17371), для отнесения субъектов контроля в области регулирования рынка зерна к степеням риска и для отбора субъектов (объектов) контроля при проведении проверок на соответствие квалификационным требованиям по выданным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лицензиям (далее – проверка на соответствие квалификационным требованиям) и профилактического контроля с посещением субъекта (объекта) контроля.</w:t>
      </w:r>
    </w:p>
    <w:bookmarkEnd w:id="11"/>
    <w:bookmarkStart w:name="z22" w:id="12"/>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2"/>
    <w:bookmarkStart w:name="z23" w:id="13"/>
    <w:p>
      <w:pPr>
        <w:spacing w:after="0"/>
        <w:ind w:left="0"/>
        <w:jc w:val="both"/>
      </w:pPr>
      <w:r>
        <w:rPr>
          <w:rFonts w:ascii="Times New Roman"/>
          <w:b w:val="false"/>
          <w:i w:val="false"/>
          <w:color w:val="000000"/>
          <w:sz w:val="28"/>
        </w:rPr>
        <w:t>
      1) субъекты контроля – юридические лица (хлебоприемные предприятия), осуществляющие деятельность, связанную с производством, хранением, транспортировкой, переработкой и реализацией зерна;</w:t>
      </w:r>
    </w:p>
    <w:bookmarkEnd w:id="13"/>
    <w:bookmarkStart w:name="z24" w:id="14"/>
    <w:p>
      <w:pPr>
        <w:spacing w:after="0"/>
        <w:ind w:left="0"/>
        <w:jc w:val="both"/>
      </w:pPr>
      <w:r>
        <w:rPr>
          <w:rFonts w:ascii="Times New Roman"/>
          <w:b w:val="false"/>
          <w:i w:val="false"/>
          <w:color w:val="000000"/>
          <w:sz w:val="28"/>
        </w:rPr>
        <w:t>
      2) балл – количественная мера исчисления риска;</w:t>
      </w:r>
    </w:p>
    <w:bookmarkEnd w:id="14"/>
    <w:bookmarkStart w:name="z25" w:id="15"/>
    <w:p>
      <w:pPr>
        <w:spacing w:after="0"/>
        <w:ind w:left="0"/>
        <w:jc w:val="both"/>
      </w:pPr>
      <w:r>
        <w:rPr>
          <w:rFonts w:ascii="Times New Roman"/>
          <w:b w:val="false"/>
          <w:i w:val="false"/>
          <w:color w:val="000000"/>
          <w:sz w:val="28"/>
        </w:rPr>
        <w:t>
      3) незначительное нарушение – нарушение требований, установленных нормативными правовыми актами в области зерна, в части неправильного ведения документации в области зернового рынка;</w:t>
      </w:r>
    </w:p>
    <w:bookmarkEnd w:id="15"/>
    <w:bookmarkStart w:name="z26" w:id="16"/>
    <w:p>
      <w:pPr>
        <w:spacing w:after="0"/>
        <w:ind w:left="0"/>
        <w:jc w:val="both"/>
      </w:pPr>
      <w:r>
        <w:rPr>
          <w:rFonts w:ascii="Times New Roman"/>
          <w:b w:val="false"/>
          <w:i w:val="false"/>
          <w:color w:val="000000"/>
          <w:sz w:val="28"/>
        </w:rPr>
        <w:t>
      4)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16"/>
    <w:bookmarkStart w:name="z27" w:id="17"/>
    <w:p>
      <w:pPr>
        <w:spacing w:after="0"/>
        <w:ind w:left="0"/>
        <w:jc w:val="both"/>
      </w:pPr>
      <w:r>
        <w:rPr>
          <w:rFonts w:ascii="Times New Roman"/>
          <w:b w:val="false"/>
          <w:i w:val="false"/>
          <w:color w:val="000000"/>
          <w:sz w:val="28"/>
        </w:rPr>
        <w:t>
      5) значительное нарушение – нарушение требований, установленных нормативными правовыми актами в области зерна, в части проведения мероприятий по переводу зерна на зимние условия хранения, несоответствие технологического оборудования, не предоставление информации и документации в области зернового рынка;</w:t>
      </w:r>
    </w:p>
    <w:bookmarkEnd w:id="17"/>
    <w:bookmarkStart w:name="z28" w:id="18"/>
    <w:p>
      <w:pPr>
        <w:spacing w:after="0"/>
        <w:ind w:left="0"/>
        <w:jc w:val="both"/>
      </w:pPr>
      <w:r>
        <w:rPr>
          <w:rFonts w:ascii="Times New Roman"/>
          <w:b w:val="false"/>
          <w:i w:val="false"/>
          <w:color w:val="000000"/>
          <w:sz w:val="28"/>
        </w:rPr>
        <w:t xml:space="preserve">
      6) грубое нарушение – нарушение требований, установленных законодательством Республики Казахстан о зерне, влекущих административную ответственность, предусмотренную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в части нарушения, которое может привести к ухудшению количественно-качественной сохранности зерна, в том числе к фактам утраты и порчи зерна, несоблюдению условий хранения зерна, неисполнению хлебоприемными предприятиями обязательств по выпущенным ими зерновым распискам;</w:t>
      </w:r>
    </w:p>
    <w:bookmarkEnd w:id="18"/>
    <w:bookmarkStart w:name="z29" w:id="19"/>
    <w:p>
      <w:pPr>
        <w:spacing w:after="0"/>
        <w:ind w:left="0"/>
        <w:jc w:val="both"/>
      </w:pPr>
      <w:r>
        <w:rPr>
          <w:rFonts w:ascii="Times New Roman"/>
          <w:b w:val="false"/>
          <w:i w:val="false"/>
          <w:color w:val="000000"/>
          <w:sz w:val="28"/>
        </w:rPr>
        <w:t>
      7) риск – вероятность причинения вреда в результате деятельности субъекта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19"/>
    <w:bookmarkStart w:name="z30" w:id="20"/>
    <w:p>
      <w:pPr>
        <w:spacing w:after="0"/>
        <w:ind w:left="0"/>
        <w:jc w:val="both"/>
      </w:pPr>
      <w:r>
        <w:rPr>
          <w:rFonts w:ascii="Times New Roman"/>
          <w:b w:val="false"/>
          <w:i w:val="false"/>
          <w:color w:val="000000"/>
          <w:sz w:val="28"/>
        </w:rPr>
        <w:t>
      8)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на соответствие квалификационным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квалификационным требованиям;</w:t>
      </w:r>
    </w:p>
    <w:bookmarkEnd w:id="20"/>
    <w:bookmarkStart w:name="z31" w:id="21"/>
    <w:p>
      <w:pPr>
        <w:spacing w:after="0"/>
        <w:ind w:left="0"/>
        <w:jc w:val="both"/>
      </w:pPr>
      <w:r>
        <w:rPr>
          <w:rFonts w:ascii="Times New Roman"/>
          <w:b w:val="false"/>
          <w:i w:val="false"/>
          <w:color w:val="000000"/>
          <w:sz w:val="28"/>
        </w:rPr>
        <w:t>
      9)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области производства органической продукции и не зависящие непосредственно от отдельного субъекта (объекта) контроля;</w:t>
      </w:r>
    </w:p>
    <w:bookmarkEnd w:id="21"/>
    <w:bookmarkStart w:name="z32" w:id="22"/>
    <w:p>
      <w:pPr>
        <w:spacing w:after="0"/>
        <w:ind w:left="0"/>
        <w:jc w:val="both"/>
      </w:pPr>
      <w:r>
        <w:rPr>
          <w:rFonts w:ascii="Times New Roman"/>
          <w:b w:val="false"/>
          <w:i w:val="false"/>
          <w:color w:val="000000"/>
          <w:sz w:val="28"/>
        </w:rPr>
        <w:t>
      10)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22"/>
    <w:bookmarkStart w:name="z33" w:id="23"/>
    <w:p>
      <w:pPr>
        <w:spacing w:after="0"/>
        <w:ind w:left="0"/>
        <w:jc w:val="both"/>
      </w:pPr>
      <w:r>
        <w:rPr>
          <w:rFonts w:ascii="Times New Roman"/>
          <w:b w:val="false"/>
          <w:i w:val="false"/>
          <w:color w:val="000000"/>
          <w:sz w:val="28"/>
        </w:rPr>
        <w:t xml:space="preserve">
      11)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 </w:t>
      </w:r>
    </w:p>
    <w:bookmarkEnd w:id="23"/>
    <w:bookmarkStart w:name="z34" w:id="24"/>
    <w:p>
      <w:pPr>
        <w:spacing w:after="0"/>
        <w:ind w:left="0"/>
        <w:jc w:val="both"/>
      </w:pPr>
      <w:r>
        <w:rPr>
          <w:rFonts w:ascii="Times New Roman"/>
          <w:b w:val="false"/>
          <w:i w:val="false"/>
          <w:color w:val="000000"/>
          <w:sz w:val="28"/>
        </w:rPr>
        <w:t>
      12) проверочный лист – перечень требований, предъявляемых к деятельности субъектов (объектов) контроля, несоблюдение которых влечет за собой угрозу законным интересам физических и юридических лиц, государства;</w:t>
      </w:r>
    </w:p>
    <w:bookmarkEnd w:id="24"/>
    <w:bookmarkStart w:name="z35" w:id="25"/>
    <w:p>
      <w:pPr>
        <w:spacing w:after="0"/>
        <w:ind w:left="0"/>
        <w:jc w:val="both"/>
      </w:pPr>
      <w:r>
        <w:rPr>
          <w:rFonts w:ascii="Times New Roman"/>
          <w:b w:val="false"/>
          <w:i w:val="false"/>
          <w:color w:val="000000"/>
          <w:sz w:val="28"/>
        </w:rPr>
        <w:t xml:space="preserve">
      13)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25"/>
    <w:bookmarkStart w:name="z36" w:id="26"/>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проверки на соответствие квалификационным требованиям и профилактического контроля субъектов (объектов) контроля</w:t>
      </w:r>
    </w:p>
    <w:bookmarkEnd w:id="26"/>
    <w:bookmarkStart w:name="z37" w:id="27"/>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и (или) проверки на соответствие квалификационным требованиям, критерии оценки степени риска для проведения проверки на соответствие квалификационным требованиям и профилактического контроля субъектов (объектов) контроля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27"/>
    <w:bookmarkStart w:name="z38" w:id="28"/>
    <w:p>
      <w:pPr>
        <w:spacing w:after="0"/>
        <w:ind w:left="0"/>
        <w:jc w:val="both"/>
      </w:pPr>
      <w:r>
        <w:rPr>
          <w:rFonts w:ascii="Times New Roman"/>
          <w:b w:val="false"/>
          <w:i w:val="false"/>
          <w:color w:val="000000"/>
          <w:sz w:val="28"/>
        </w:rPr>
        <w:t>
      На первом этапе по объективным критериям субъекты (объекты) контроля относятся к высокой степени риска.</w:t>
      </w:r>
    </w:p>
    <w:bookmarkEnd w:id="28"/>
    <w:bookmarkStart w:name="z39" w:id="29"/>
    <w:p>
      <w:pPr>
        <w:spacing w:after="0"/>
        <w:ind w:left="0"/>
        <w:jc w:val="both"/>
      </w:pPr>
      <w:r>
        <w:rPr>
          <w:rFonts w:ascii="Times New Roman"/>
          <w:b w:val="false"/>
          <w:i w:val="false"/>
          <w:color w:val="000000"/>
          <w:sz w:val="28"/>
        </w:rPr>
        <w:t>
      В отношении субъектов (объектов) контроля, отнесенных к высокой степени риска, проводятся проверка на соответствие квалификационным требованиям, профилактический контроль с посещением субъекта (объекта) контроля и внеплановая проверка.</w:t>
      </w:r>
    </w:p>
    <w:bookmarkEnd w:id="29"/>
    <w:bookmarkStart w:name="z40" w:id="30"/>
    <w:p>
      <w:pPr>
        <w:spacing w:after="0"/>
        <w:ind w:left="0"/>
        <w:jc w:val="both"/>
      </w:pPr>
      <w:r>
        <w:rPr>
          <w:rFonts w:ascii="Times New Roman"/>
          <w:b w:val="false"/>
          <w:i w:val="false"/>
          <w:color w:val="000000"/>
          <w:sz w:val="28"/>
        </w:rPr>
        <w:t>
      4. На втором этапе по субъективным критериям субъекты (объекты) контроля относятся к высокой степени риска, при показателе степени риска от 71 до 100 включительно.</w:t>
      </w:r>
    </w:p>
    <w:bookmarkEnd w:id="30"/>
    <w:bookmarkStart w:name="z41" w:id="31"/>
    <w:p>
      <w:pPr>
        <w:spacing w:after="0"/>
        <w:ind w:left="0"/>
        <w:jc w:val="both"/>
      </w:pPr>
      <w:r>
        <w:rPr>
          <w:rFonts w:ascii="Times New Roman"/>
          <w:b w:val="false"/>
          <w:i w:val="false"/>
          <w:color w:val="000000"/>
          <w:sz w:val="28"/>
        </w:rPr>
        <w:t>
      5.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соответствуют степени нарушения – грубое, значительное и незначительное.</w:t>
      </w:r>
    </w:p>
    <w:bookmarkEnd w:id="31"/>
    <w:bookmarkStart w:name="z42" w:id="32"/>
    <w:p>
      <w:pPr>
        <w:spacing w:after="0"/>
        <w:ind w:left="0"/>
        <w:jc w:val="both"/>
      </w:pPr>
      <w:r>
        <w:rPr>
          <w:rFonts w:ascii="Times New Roman"/>
          <w:b w:val="false"/>
          <w:i w:val="false"/>
          <w:color w:val="000000"/>
          <w:sz w:val="28"/>
        </w:rPr>
        <w:t>
      Степень нарушений требований в области регулирования рынка зерна определяется согласно приложению 1 к настоящим Критериям.</w:t>
      </w:r>
    </w:p>
    <w:bookmarkEnd w:id="32"/>
    <w:bookmarkStart w:name="z43" w:id="33"/>
    <w:p>
      <w:pPr>
        <w:spacing w:after="0"/>
        <w:ind w:left="0"/>
        <w:jc w:val="both"/>
      </w:pPr>
      <w:r>
        <w:rPr>
          <w:rFonts w:ascii="Times New Roman"/>
          <w:b w:val="false"/>
          <w:i w:val="false"/>
          <w:color w:val="000000"/>
          <w:sz w:val="28"/>
        </w:rPr>
        <w:t>
      Степень нарушений требований в области регулирования рынка зерна для проведения проверки на соответствие квалификационным требованиям определяется согласно приложению 2 к настоящим Критериям.</w:t>
      </w:r>
    </w:p>
    <w:bookmarkEnd w:id="33"/>
    <w:bookmarkStart w:name="z44" w:id="34"/>
    <w:p>
      <w:pPr>
        <w:spacing w:after="0"/>
        <w:ind w:left="0"/>
        <w:jc w:val="both"/>
      </w:pPr>
      <w:r>
        <w:rPr>
          <w:rFonts w:ascii="Times New Roman"/>
          <w:b w:val="false"/>
          <w:i w:val="false"/>
          <w:color w:val="000000"/>
          <w:sz w:val="28"/>
        </w:rPr>
        <w:t>
      6. Критерии оценки степени риска для проведения проверки на соответствие квалификационным требованиям и профилактического контроля субъектов (объектов) контроля формируются посредством определения объективных и субъективных критериев.</w:t>
      </w:r>
    </w:p>
    <w:bookmarkEnd w:id="34"/>
    <w:bookmarkStart w:name="z45" w:id="35"/>
    <w:p>
      <w:pPr>
        <w:spacing w:after="0"/>
        <w:ind w:left="0"/>
        <w:jc w:val="left"/>
      </w:pPr>
      <w:r>
        <w:rPr>
          <w:rFonts w:ascii="Times New Roman"/>
          <w:b/>
          <w:i w:val="false"/>
          <w:color w:val="000000"/>
        </w:rPr>
        <w:t xml:space="preserve"> Параграф 1. Объективные критерии</w:t>
      </w:r>
    </w:p>
    <w:bookmarkEnd w:id="35"/>
    <w:bookmarkStart w:name="z46" w:id="36"/>
    <w:p>
      <w:pPr>
        <w:spacing w:after="0"/>
        <w:ind w:left="0"/>
        <w:jc w:val="both"/>
      </w:pPr>
      <w:r>
        <w:rPr>
          <w:rFonts w:ascii="Times New Roman"/>
          <w:b w:val="false"/>
          <w:i w:val="false"/>
          <w:color w:val="000000"/>
          <w:sz w:val="28"/>
        </w:rPr>
        <w:t>
      7. По объективным критериям к субъектам (объектам) контроля высокой степени риска относятся юридические лица (хлебоприемные предприятия), осуществляющие деятельность, связанную с производством, хранением, транспортировкой, переработкой и реализацией зерна.</w:t>
      </w:r>
    </w:p>
    <w:bookmarkEnd w:id="36"/>
    <w:bookmarkStart w:name="z47" w:id="37"/>
    <w:p>
      <w:pPr>
        <w:spacing w:after="0"/>
        <w:ind w:left="0"/>
        <w:jc w:val="left"/>
      </w:pPr>
      <w:r>
        <w:rPr>
          <w:rFonts w:ascii="Times New Roman"/>
          <w:b/>
          <w:i w:val="false"/>
          <w:color w:val="000000"/>
        </w:rPr>
        <w:t xml:space="preserve"> Параграф 2. Субъективные критерии</w:t>
      </w:r>
    </w:p>
    <w:bookmarkEnd w:id="37"/>
    <w:bookmarkStart w:name="z48" w:id="38"/>
    <w:p>
      <w:pPr>
        <w:spacing w:after="0"/>
        <w:ind w:left="0"/>
        <w:jc w:val="both"/>
      </w:pPr>
      <w:r>
        <w:rPr>
          <w:rFonts w:ascii="Times New Roman"/>
          <w:b w:val="false"/>
          <w:i w:val="false"/>
          <w:color w:val="000000"/>
          <w:sz w:val="28"/>
        </w:rPr>
        <w:t>
      8. Определение субъективных критериев осуществляется с применением следующих этапов:</w:t>
      </w:r>
    </w:p>
    <w:bookmarkEnd w:id="38"/>
    <w:bookmarkStart w:name="z49" w:id="39"/>
    <w:p>
      <w:pPr>
        <w:spacing w:after="0"/>
        <w:ind w:left="0"/>
        <w:jc w:val="both"/>
      </w:pPr>
      <w:r>
        <w:rPr>
          <w:rFonts w:ascii="Times New Roman"/>
          <w:b w:val="false"/>
          <w:i w:val="false"/>
          <w:color w:val="000000"/>
          <w:sz w:val="28"/>
        </w:rPr>
        <w:t>
      1) формирование базы данных и сбор информации;</w:t>
      </w:r>
    </w:p>
    <w:bookmarkEnd w:id="39"/>
    <w:bookmarkStart w:name="z50" w:id="40"/>
    <w:p>
      <w:pPr>
        <w:spacing w:after="0"/>
        <w:ind w:left="0"/>
        <w:jc w:val="both"/>
      </w:pPr>
      <w:r>
        <w:rPr>
          <w:rFonts w:ascii="Times New Roman"/>
          <w:b w:val="false"/>
          <w:i w:val="false"/>
          <w:color w:val="000000"/>
          <w:sz w:val="28"/>
        </w:rPr>
        <w:t>
      2) анализ информации и оценка рисков.</w:t>
      </w:r>
    </w:p>
    <w:bookmarkEnd w:id="40"/>
    <w:bookmarkStart w:name="z51" w:id="41"/>
    <w:p>
      <w:pPr>
        <w:spacing w:after="0"/>
        <w:ind w:left="0"/>
        <w:jc w:val="both"/>
      </w:pPr>
      <w:r>
        <w:rPr>
          <w:rFonts w:ascii="Times New Roman"/>
          <w:b w:val="false"/>
          <w:i w:val="false"/>
          <w:color w:val="000000"/>
          <w:sz w:val="28"/>
        </w:rPr>
        <w:t>
      9. Формирование базы данных и сбор информации необходимы для выявления субъектов (объектов) контроля.</w:t>
      </w:r>
    </w:p>
    <w:bookmarkEnd w:id="41"/>
    <w:bookmarkStart w:name="z52" w:id="42"/>
    <w:p>
      <w:pPr>
        <w:spacing w:after="0"/>
        <w:ind w:left="0"/>
        <w:jc w:val="both"/>
      </w:pPr>
      <w:r>
        <w:rPr>
          <w:rFonts w:ascii="Times New Roman"/>
          <w:b w:val="false"/>
          <w:i w:val="false"/>
          <w:color w:val="000000"/>
          <w:sz w:val="28"/>
        </w:rPr>
        <w:t>
      Для оценки степени риска по субъективным критериям для проведения профилактического контроля с посещением субъекта (объекта) контроля используются следующие источники информации:</w:t>
      </w:r>
    </w:p>
    <w:bookmarkEnd w:id="42"/>
    <w:bookmarkStart w:name="z53" w:id="43"/>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w:t>
      </w:r>
    </w:p>
    <w:bookmarkEnd w:id="43"/>
    <w:bookmarkStart w:name="z54" w:id="44"/>
    <w:p>
      <w:pPr>
        <w:spacing w:after="0"/>
        <w:ind w:left="0"/>
        <w:jc w:val="both"/>
      </w:pPr>
      <w:r>
        <w:rPr>
          <w:rFonts w:ascii="Times New Roman"/>
          <w:b w:val="false"/>
          <w:i w:val="false"/>
          <w:color w:val="000000"/>
          <w:sz w:val="28"/>
        </w:rPr>
        <w:t>
      2) результаты мониторинга отчетности и сведений, представляемых субъектами контроля в государственный электронный реестр держателей зерновых расписок.</w:t>
      </w:r>
    </w:p>
    <w:bookmarkEnd w:id="44"/>
    <w:bookmarkStart w:name="z55" w:id="45"/>
    <w:p>
      <w:pPr>
        <w:spacing w:after="0"/>
        <w:ind w:left="0"/>
        <w:jc w:val="both"/>
      </w:pPr>
      <w:r>
        <w:rPr>
          <w:rFonts w:ascii="Times New Roman"/>
          <w:b w:val="false"/>
          <w:i w:val="false"/>
          <w:color w:val="000000"/>
          <w:sz w:val="28"/>
        </w:rPr>
        <w:t>
      Для оценки степени риска по субъективным критериям для проведения проверки на соответствие квалификационным требованиям используются результаты предыдущих проверок в отношении субъектов (объектов) контроля.</w:t>
      </w:r>
    </w:p>
    <w:bookmarkEnd w:id="45"/>
    <w:bookmarkStart w:name="z56" w:id="46"/>
    <w:p>
      <w:pPr>
        <w:spacing w:after="0"/>
        <w:ind w:left="0"/>
        <w:jc w:val="both"/>
      </w:pPr>
      <w:r>
        <w:rPr>
          <w:rFonts w:ascii="Times New Roman"/>
          <w:b w:val="false"/>
          <w:i w:val="false"/>
          <w:color w:val="000000"/>
          <w:sz w:val="28"/>
        </w:rPr>
        <w:t>
      10. На основании имеющихся источников информации формируются данные по субъективным критериям, подлежащие анализу и оценке.</w:t>
      </w:r>
    </w:p>
    <w:bookmarkEnd w:id="46"/>
    <w:bookmarkStart w:name="z57" w:id="47"/>
    <w:p>
      <w:pPr>
        <w:spacing w:after="0"/>
        <w:ind w:left="0"/>
        <w:jc w:val="both"/>
      </w:pPr>
      <w:r>
        <w:rPr>
          <w:rFonts w:ascii="Times New Roman"/>
          <w:b w:val="false"/>
          <w:i w:val="false"/>
          <w:color w:val="000000"/>
          <w:sz w:val="28"/>
        </w:rPr>
        <w:t>
      Анализ и оценка субъективных критериев позволяет сконцентрировать проведение проверки на соответствие квалификационным требованиям и профилактического контроля субъекта (объекта) контроля в отношении субъекта (объекта) контроля с наибольшим потенциальным риском.</w:t>
      </w:r>
    </w:p>
    <w:bookmarkEnd w:id="47"/>
    <w:bookmarkStart w:name="z58" w:id="48"/>
    <w:p>
      <w:pPr>
        <w:spacing w:after="0"/>
        <w:ind w:left="0"/>
        <w:jc w:val="both"/>
      </w:pPr>
      <w:r>
        <w:rPr>
          <w:rFonts w:ascii="Times New Roman"/>
          <w:b w:val="false"/>
          <w:i w:val="false"/>
          <w:color w:val="000000"/>
          <w:sz w:val="28"/>
        </w:rPr>
        <w:t xml:space="preserve">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178 Гражданский кодекс Республики Казахстан.</w:t>
      </w:r>
    </w:p>
    <w:bookmarkEnd w:id="48"/>
    <w:bookmarkStart w:name="z59" w:id="49"/>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квалификационным требованиям, не допускается включение их при формировании графиков и списков на очередной период государственного контроля.</w:t>
      </w:r>
    </w:p>
    <w:bookmarkEnd w:id="49"/>
    <w:bookmarkStart w:name="z60" w:id="50"/>
    <w:p>
      <w:pPr>
        <w:spacing w:after="0"/>
        <w:ind w:left="0"/>
        <w:jc w:val="both"/>
      </w:pPr>
      <w:r>
        <w:rPr>
          <w:rFonts w:ascii="Times New Roman"/>
          <w:b w:val="false"/>
          <w:i w:val="false"/>
          <w:color w:val="000000"/>
          <w:sz w:val="28"/>
        </w:rPr>
        <w:t>
      11.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 в главе 3 настоящих Критериев, рассчитывается показатель степени риска по субъективным критериям по шкале от 0 до 100 баллов.</w:t>
      </w:r>
    </w:p>
    <w:bookmarkEnd w:id="50"/>
    <w:bookmarkStart w:name="z61" w:id="51"/>
    <w:p>
      <w:pPr>
        <w:spacing w:after="0"/>
        <w:ind w:left="0"/>
        <w:jc w:val="both"/>
      </w:pPr>
      <w:r>
        <w:rPr>
          <w:rFonts w:ascii="Times New Roman"/>
          <w:b w:val="false"/>
          <w:i w:val="false"/>
          <w:color w:val="000000"/>
          <w:sz w:val="28"/>
        </w:rPr>
        <w:t>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в области регулирования рынка зерна согласно приложению 3 к настоящим Критериям.</w:t>
      </w:r>
    </w:p>
    <w:bookmarkEnd w:id="51"/>
    <w:bookmarkStart w:name="z62" w:id="52"/>
    <w:p>
      <w:pPr>
        <w:spacing w:after="0"/>
        <w:ind w:left="0"/>
        <w:jc w:val="left"/>
      </w:pPr>
      <w:r>
        <w:rPr>
          <w:rFonts w:ascii="Times New Roman"/>
          <w:b/>
          <w:i w:val="false"/>
          <w:color w:val="000000"/>
        </w:rPr>
        <w:t xml:space="preserve"> Параграф 3. Управление рисками</w:t>
      </w:r>
    </w:p>
    <w:bookmarkEnd w:id="52"/>
    <w:bookmarkStart w:name="z63" w:id="53"/>
    <w:p>
      <w:pPr>
        <w:spacing w:after="0"/>
        <w:ind w:left="0"/>
        <w:jc w:val="both"/>
      </w:pPr>
      <w:r>
        <w:rPr>
          <w:rFonts w:ascii="Times New Roman"/>
          <w:b w:val="false"/>
          <w:i w:val="false"/>
          <w:color w:val="000000"/>
          <w:sz w:val="28"/>
        </w:rPr>
        <w:t>
      12.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и (или) проверки на соответствие квалификационным требованиям на период, определяемый пунктами 19 и 20 настоящих Критериев, посредством применения субъективных критериев.</w:t>
      </w:r>
    </w:p>
    <w:bookmarkEnd w:id="53"/>
    <w:bookmarkStart w:name="z64" w:id="54"/>
    <w:p>
      <w:pPr>
        <w:spacing w:after="0"/>
        <w:ind w:left="0"/>
        <w:jc w:val="both"/>
      </w:pPr>
      <w:r>
        <w:rPr>
          <w:rFonts w:ascii="Times New Roman"/>
          <w:b w:val="false"/>
          <w:i w:val="false"/>
          <w:color w:val="000000"/>
          <w:sz w:val="28"/>
        </w:rPr>
        <w:t>
      13. Система оценки и управления рисками ведется с использованием информационных систем, относящих субъекты (объекты) контроля к конкретным степеням риска и формирующих графики или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54"/>
    <w:bookmarkStart w:name="z65" w:id="55"/>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и (или) проверка на соответствие квалификационным требованиям, не должен превышать пяти процентов от общего количества таких субъектов контроля в области регулирования рынка зерна.</w:t>
      </w:r>
    </w:p>
    <w:bookmarkEnd w:id="55"/>
    <w:bookmarkStart w:name="z66" w:id="56"/>
    <w:p>
      <w:pPr>
        <w:spacing w:after="0"/>
        <w:ind w:left="0"/>
        <w:jc w:val="left"/>
      </w:pPr>
      <w:r>
        <w:rPr>
          <w:rFonts w:ascii="Times New Roman"/>
          <w:b/>
          <w:i w:val="false"/>
          <w:color w:val="000000"/>
        </w:rPr>
        <w:t xml:space="preserve"> Глава 3. Порядок расчета общего показателя степени риска по субъективным критериям</w:t>
      </w:r>
    </w:p>
    <w:bookmarkEnd w:id="56"/>
    <w:bookmarkStart w:name="z67" w:id="57"/>
    <w:p>
      <w:pPr>
        <w:spacing w:after="0"/>
        <w:ind w:left="0"/>
        <w:jc w:val="both"/>
      </w:pPr>
      <w:r>
        <w:rPr>
          <w:rFonts w:ascii="Times New Roman"/>
          <w:b w:val="false"/>
          <w:i w:val="false"/>
          <w:color w:val="000000"/>
          <w:sz w:val="28"/>
        </w:rPr>
        <w:t>
      14. Для отнесения субъекта контроля к степени риска в соответствии с пунктами 3 и 4 настоящих Критерий применяется следующий порядок расчета показателя степени риска.</w:t>
      </w:r>
    </w:p>
    <w:bookmarkEnd w:id="57"/>
    <w:bookmarkStart w:name="z68" w:id="58"/>
    <w:p>
      <w:pPr>
        <w:spacing w:after="0"/>
        <w:ind w:left="0"/>
        <w:jc w:val="both"/>
      </w:pPr>
      <w:r>
        <w:rPr>
          <w:rFonts w:ascii="Times New Roman"/>
          <w:b w:val="false"/>
          <w:i w:val="false"/>
          <w:color w:val="000000"/>
          <w:sz w:val="28"/>
        </w:rPr>
        <w:t>
      Государственный орган собирает информацию и формирует базу данных по субъективным критериям из источников согласно пункту 9 настоящих Критериев.</w:t>
      </w:r>
    </w:p>
    <w:bookmarkEnd w:id="58"/>
    <w:bookmarkStart w:name="z69" w:id="59"/>
    <w:p>
      <w:pPr>
        <w:spacing w:after="0"/>
        <w:ind w:left="0"/>
        <w:jc w:val="both"/>
      </w:pPr>
      <w:r>
        <w:rPr>
          <w:rFonts w:ascii="Times New Roman"/>
          <w:b w:val="false"/>
          <w:i w:val="false"/>
          <w:color w:val="000000"/>
          <w:sz w:val="28"/>
        </w:rPr>
        <w:t>
      15.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пунктом 11 настоящих Критериев (SC), с последующей нормализацией значений данных в диапазон от 0 до 100 баллов.</w:t>
      </w:r>
    </w:p>
    <w:bookmarkEnd w:id="59"/>
    <w:bookmarkStart w:name="z70" w:id="6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w:t>
      </w:r>
    </w:p>
    <w:bookmarkEnd w:id="60"/>
    <w:bookmarkStart w:name="z71" w:id="61"/>
    <w:p>
      <w:pPr>
        <w:spacing w:after="0"/>
        <w:ind w:left="0"/>
        <w:jc w:val="both"/>
      </w:pPr>
      <w:r>
        <w:rPr>
          <w:rFonts w:ascii="Times New Roman"/>
          <w:b w:val="false"/>
          <w:i w:val="false"/>
          <w:color w:val="000000"/>
          <w:sz w:val="28"/>
        </w:rPr>
        <w:t>
      где:</w:t>
      </w:r>
    </w:p>
    <w:bookmarkEnd w:id="61"/>
    <w:bookmarkStart w:name="z72" w:id="6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62"/>
    <w:bookmarkStart w:name="z73" w:id="63"/>
    <w:p>
      <w:pPr>
        <w:spacing w:after="0"/>
        <w:ind w:left="0"/>
        <w:jc w:val="both"/>
      </w:pPr>
      <w:r>
        <w:rPr>
          <w:rFonts w:ascii="Times New Roman"/>
          <w:b w:val="false"/>
          <w:i w:val="false"/>
          <w:color w:val="000000"/>
          <w:sz w:val="28"/>
        </w:rPr>
        <w:t>
      SР – показатель степени риска по нарушениям;</w:t>
      </w:r>
    </w:p>
    <w:bookmarkEnd w:id="63"/>
    <w:bookmarkStart w:name="z74" w:id="64"/>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11 настоящих Критериев.</w:t>
      </w:r>
    </w:p>
    <w:bookmarkEnd w:id="64"/>
    <w:bookmarkStart w:name="z75" w:id="65"/>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в области регулирования рынка зерна.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65"/>
    <w:bookmarkStart w:name="z76" w:id="66"/>
    <w:p>
      <w:pPr>
        <w:spacing w:after="0"/>
        <w:ind w:left="0"/>
        <w:jc w:val="both"/>
      </w:pPr>
      <w:r>
        <w:rPr>
          <w:rFonts w:ascii="Times New Roman"/>
          <w:b w:val="false"/>
          <w:i w:val="false"/>
          <w:color w:val="000000"/>
          <w:sz w:val="28"/>
        </w:rPr>
        <w:t>
      16.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66"/>
    <w:bookmarkStart w:name="z77" w:id="67"/>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9 настоящих Критериев, субъекту контроля приравнивается показатель степени риска 100 баллов и в отношении него проводится проверка на соответствие квалификационным требованиям или профилактический контроль с посещением субъекта (объекта) контроля.</w:t>
      </w:r>
    </w:p>
    <w:bookmarkEnd w:id="67"/>
    <w:bookmarkStart w:name="z78" w:id="68"/>
    <w:p>
      <w:pPr>
        <w:spacing w:after="0"/>
        <w:ind w:left="0"/>
        <w:jc w:val="both"/>
      </w:pPr>
      <w:r>
        <w:rPr>
          <w:rFonts w:ascii="Times New Roman"/>
          <w:b w:val="false"/>
          <w:i w:val="false"/>
          <w:color w:val="000000"/>
          <w:sz w:val="28"/>
        </w:rPr>
        <w:t>
      При невыявлении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68"/>
    <w:bookmarkStart w:name="z79" w:id="69"/>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69"/>
    <w:bookmarkStart w:name="z80" w:id="70"/>
    <w:p>
      <w:pPr>
        <w:spacing w:after="0"/>
        <w:ind w:left="0"/>
        <w:jc w:val="both"/>
      </w:pPr>
      <w:r>
        <w:rPr>
          <w:rFonts w:ascii="Times New Roman"/>
          <w:b w:val="false"/>
          <w:i w:val="false"/>
          <w:color w:val="000000"/>
          <w:sz w:val="28"/>
        </w:rPr>
        <w:t>
      SPз = (SP</w:t>
      </w:r>
      <w:r>
        <w:rPr>
          <w:rFonts w:ascii="Times New Roman"/>
          <w:b w:val="false"/>
          <w:i w:val="false"/>
          <w:color w:val="000000"/>
          <w:vertAlign w:val="subscript"/>
        </w:rPr>
        <w:t>2</w:t>
      </w:r>
      <w:r>
        <w:rPr>
          <w:rFonts w:ascii="Times New Roman"/>
          <w:b w:val="false"/>
          <w:i w:val="false"/>
          <w:color w:val="000000"/>
          <w:sz w:val="28"/>
        </w:rPr>
        <w:t xml:space="preserve"> х 100/SP</w:t>
      </w:r>
      <w:r>
        <w:rPr>
          <w:rFonts w:ascii="Times New Roman"/>
          <w:b w:val="false"/>
          <w:i w:val="false"/>
          <w:color w:val="000000"/>
          <w:vertAlign w:val="subscript"/>
        </w:rPr>
        <w:t>1</w:t>
      </w:r>
      <w:r>
        <w:rPr>
          <w:rFonts w:ascii="Times New Roman"/>
          <w:b w:val="false"/>
          <w:i w:val="false"/>
          <w:color w:val="000000"/>
          <w:sz w:val="28"/>
        </w:rPr>
        <w:t>) х 0,7,</w:t>
      </w:r>
    </w:p>
    <w:bookmarkEnd w:id="70"/>
    <w:bookmarkStart w:name="z81" w:id="71"/>
    <w:p>
      <w:pPr>
        <w:spacing w:after="0"/>
        <w:ind w:left="0"/>
        <w:jc w:val="both"/>
      </w:pPr>
      <w:r>
        <w:rPr>
          <w:rFonts w:ascii="Times New Roman"/>
          <w:b w:val="false"/>
          <w:i w:val="false"/>
          <w:color w:val="000000"/>
          <w:sz w:val="28"/>
        </w:rPr>
        <w:t>
      где:</w:t>
      </w:r>
    </w:p>
    <w:bookmarkEnd w:id="71"/>
    <w:bookmarkStart w:name="z82" w:id="72"/>
    <w:p>
      <w:pPr>
        <w:spacing w:after="0"/>
        <w:ind w:left="0"/>
        <w:jc w:val="both"/>
      </w:pPr>
      <w:r>
        <w:rPr>
          <w:rFonts w:ascii="Times New Roman"/>
          <w:b w:val="false"/>
          <w:i w:val="false"/>
          <w:color w:val="000000"/>
          <w:sz w:val="28"/>
        </w:rPr>
        <w:t>
      SP3 – показатель значительных нарушений;</w:t>
      </w:r>
    </w:p>
    <w:bookmarkEnd w:id="72"/>
    <w:bookmarkStart w:name="z83" w:id="73"/>
    <w:p>
      <w:pPr>
        <w:spacing w:after="0"/>
        <w:ind w:left="0"/>
        <w:jc w:val="both"/>
      </w:pPr>
      <w:r>
        <w:rPr>
          <w:rFonts w:ascii="Times New Roman"/>
          <w:b w:val="false"/>
          <w:i w:val="false"/>
          <w:color w:val="000000"/>
          <w:sz w:val="28"/>
        </w:rPr>
        <w:t>
      SP</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73"/>
    <w:bookmarkStart w:name="z84" w:id="74"/>
    <w:p>
      <w:pPr>
        <w:spacing w:after="0"/>
        <w:ind w:left="0"/>
        <w:jc w:val="both"/>
      </w:pPr>
      <w:r>
        <w:rPr>
          <w:rFonts w:ascii="Times New Roman"/>
          <w:b w:val="false"/>
          <w:i w:val="false"/>
          <w:color w:val="000000"/>
          <w:sz w:val="28"/>
        </w:rPr>
        <w:t>
      SP</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74"/>
    <w:bookmarkStart w:name="z85" w:id="75"/>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75"/>
    <w:bookmarkStart w:name="z86" w:id="76"/>
    <w:p>
      <w:pPr>
        <w:spacing w:after="0"/>
        <w:ind w:left="0"/>
        <w:jc w:val="both"/>
      </w:pPr>
      <w:r>
        <w:rPr>
          <w:rFonts w:ascii="Times New Roman"/>
          <w:b w:val="false"/>
          <w:i w:val="false"/>
          <w:color w:val="000000"/>
          <w:sz w:val="28"/>
        </w:rPr>
        <w:t>
      SРн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w:t>
      </w:r>
    </w:p>
    <w:bookmarkEnd w:id="76"/>
    <w:bookmarkStart w:name="z87" w:id="77"/>
    <w:p>
      <w:pPr>
        <w:spacing w:after="0"/>
        <w:ind w:left="0"/>
        <w:jc w:val="both"/>
      </w:pPr>
      <w:r>
        <w:rPr>
          <w:rFonts w:ascii="Times New Roman"/>
          <w:b w:val="false"/>
          <w:i w:val="false"/>
          <w:color w:val="000000"/>
          <w:sz w:val="28"/>
        </w:rPr>
        <w:t>
      где:</w:t>
      </w:r>
    </w:p>
    <w:bookmarkEnd w:id="77"/>
    <w:bookmarkStart w:name="z88" w:id="78"/>
    <w:p>
      <w:pPr>
        <w:spacing w:after="0"/>
        <w:ind w:left="0"/>
        <w:jc w:val="both"/>
      </w:pPr>
      <w:r>
        <w:rPr>
          <w:rFonts w:ascii="Times New Roman"/>
          <w:b w:val="false"/>
          <w:i w:val="false"/>
          <w:color w:val="000000"/>
          <w:sz w:val="28"/>
        </w:rPr>
        <w:t>
      SРн – показатель незначительных нарушений;</w:t>
      </w:r>
    </w:p>
    <w:bookmarkEnd w:id="78"/>
    <w:bookmarkStart w:name="z89" w:id="7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79"/>
    <w:bookmarkStart w:name="z90" w:id="8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80"/>
    <w:bookmarkStart w:name="z91" w:id="81"/>
    <w:p>
      <w:pPr>
        <w:spacing w:after="0"/>
        <w:ind w:left="0"/>
        <w:jc w:val="both"/>
      </w:pPr>
      <w:r>
        <w:rPr>
          <w:rFonts w:ascii="Times New Roman"/>
          <w:b w:val="false"/>
          <w:i w:val="false"/>
          <w:color w:val="000000"/>
          <w:sz w:val="28"/>
        </w:rPr>
        <w:t>
      Показатель степени риска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81"/>
    <w:bookmarkStart w:name="z92" w:id="82"/>
    <w:p>
      <w:pPr>
        <w:spacing w:after="0"/>
        <w:ind w:left="0"/>
        <w:jc w:val="both"/>
      </w:pPr>
      <w:r>
        <w:rPr>
          <w:rFonts w:ascii="Times New Roman"/>
          <w:b w:val="false"/>
          <w:i w:val="false"/>
          <w:color w:val="000000"/>
          <w:sz w:val="28"/>
        </w:rPr>
        <w:t>
      SР = SРз + SРн,</w:t>
      </w:r>
    </w:p>
    <w:bookmarkEnd w:id="82"/>
    <w:bookmarkStart w:name="z93" w:id="83"/>
    <w:p>
      <w:pPr>
        <w:spacing w:after="0"/>
        <w:ind w:left="0"/>
        <w:jc w:val="both"/>
      </w:pPr>
      <w:r>
        <w:rPr>
          <w:rFonts w:ascii="Times New Roman"/>
          <w:b w:val="false"/>
          <w:i w:val="false"/>
          <w:color w:val="000000"/>
          <w:sz w:val="28"/>
        </w:rPr>
        <w:t>
      где:</w:t>
      </w:r>
    </w:p>
    <w:bookmarkEnd w:id="83"/>
    <w:bookmarkStart w:name="z94" w:id="84"/>
    <w:p>
      <w:pPr>
        <w:spacing w:after="0"/>
        <w:ind w:left="0"/>
        <w:jc w:val="both"/>
      </w:pPr>
      <w:r>
        <w:rPr>
          <w:rFonts w:ascii="Times New Roman"/>
          <w:b w:val="false"/>
          <w:i w:val="false"/>
          <w:color w:val="000000"/>
          <w:sz w:val="28"/>
        </w:rPr>
        <w:t>
      SР – общий показатель степени риска;</w:t>
      </w:r>
    </w:p>
    <w:bookmarkEnd w:id="84"/>
    <w:bookmarkStart w:name="z95" w:id="85"/>
    <w:p>
      <w:pPr>
        <w:spacing w:after="0"/>
        <w:ind w:left="0"/>
        <w:jc w:val="both"/>
      </w:pPr>
      <w:r>
        <w:rPr>
          <w:rFonts w:ascii="Times New Roman"/>
          <w:b w:val="false"/>
          <w:i w:val="false"/>
          <w:color w:val="000000"/>
          <w:sz w:val="28"/>
        </w:rPr>
        <w:t>
      SРз – показатель значительных нарушений;</w:t>
      </w:r>
    </w:p>
    <w:bookmarkEnd w:id="85"/>
    <w:bookmarkStart w:name="z96" w:id="86"/>
    <w:p>
      <w:pPr>
        <w:spacing w:after="0"/>
        <w:ind w:left="0"/>
        <w:jc w:val="both"/>
      </w:pPr>
      <w:r>
        <w:rPr>
          <w:rFonts w:ascii="Times New Roman"/>
          <w:b w:val="false"/>
          <w:i w:val="false"/>
          <w:color w:val="000000"/>
          <w:sz w:val="28"/>
        </w:rPr>
        <w:t>
      SРн – показатель незначительных нарушений.</w:t>
      </w:r>
    </w:p>
    <w:bookmarkEnd w:id="86"/>
    <w:bookmarkStart w:name="z97" w:id="87"/>
    <w:p>
      <w:pPr>
        <w:spacing w:after="0"/>
        <w:ind w:left="0"/>
        <w:jc w:val="both"/>
      </w:pPr>
      <w:r>
        <w:rPr>
          <w:rFonts w:ascii="Times New Roman"/>
          <w:b w:val="false"/>
          <w:i w:val="false"/>
          <w:color w:val="000000"/>
          <w:sz w:val="28"/>
        </w:rPr>
        <w:t>
      Полученное значение общего показателя степени риска по нарушениям включается в расчет показателя степени риска по субъективным критериям.</w:t>
      </w:r>
    </w:p>
    <w:bookmarkEnd w:id="87"/>
    <w:bookmarkStart w:name="z98" w:id="88"/>
    <w:p>
      <w:pPr>
        <w:spacing w:after="0"/>
        <w:ind w:left="0"/>
        <w:jc w:val="both"/>
      </w:pPr>
      <w:r>
        <w:rPr>
          <w:rFonts w:ascii="Times New Roman"/>
          <w:b w:val="false"/>
          <w:i w:val="false"/>
          <w:color w:val="000000"/>
          <w:sz w:val="28"/>
        </w:rPr>
        <w:t>
      17. Расчет показателя степени риска по субъективным критериям, определенным в соответствии с пунктом 11 настоящих Критериев, производится по шкале от 0 до 100 баллов и осуществляется по следующей формуле:</w:t>
      </w:r>
    </w:p>
    <w:bookmarkEnd w:id="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89"/>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89"/>
    <w:bookmarkStart w:name="z101" w:id="90"/>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90"/>
    <w:bookmarkStart w:name="z102" w:id="91"/>
    <w:p>
      <w:pPr>
        <w:spacing w:after="0"/>
        <w:ind w:left="0"/>
        <w:jc w:val="both"/>
      </w:pPr>
      <w:r>
        <w:rPr>
          <w:rFonts w:ascii="Times New Roman"/>
          <w:b w:val="false"/>
          <w:i w:val="false"/>
          <w:color w:val="000000"/>
          <w:sz w:val="28"/>
        </w:rPr>
        <w:t>
      n – количество показателей.</w:t>
      </w:r>
    </w:p>
    <w:bookmarkEnd w:id="91"/>
    <w:bookmarkStart w:name="z103" w:id="92"/>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11 настоящих Критериев, включается в расчет показателя степени риска по субъективным критериям.</w:t>
      </w:r>
    </w:p>
    <w:bookmarkEnd w:id="92"/>
    <w:bookmarkStart w:name="z104" w:id="93"/>
    <w:p>
      <w:pPr>
        <w:spacing w:after="0"/>
        <w:ind w:left="0"/>
        <w:jc w:val="both"/>
      </w:pPr>
      <w:r>
        <w:rPr>
          <w:rFonts w:ascii="Times New Roman"/>
          <w:b w:val="false"/>
          <w:i w:val="false"/>
          <w:color w:val="000000"/>
          <w:sz w:val="28"/>
        </w:rPr>
        <w:t>
      18.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94"/>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94"/>
    <w:bookmarkStart w:name="z107" w:id="95"/>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95"/>
    <w:bookmarkStart w:name="z108" w:id="96"/>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96"/>
    <w:bookmarkStart w:name="z109" w:id="97"/>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15 настоящих Критериев.</w:t>
      </w:r>
    </w:p>
    <w:bookmarkEnd w:id="97"/>
    <w:bookmarkStart w:name="z110" w:id="98"/>
    <w:p>
      <w:pPr>
        <w:spacing w:after="0"/>
        <w:ind w:left="0"/>
        <w:jc w:val="both"/>
      </w:pPr>
      <w:r>
        <w:rPr>
          <w:rFonts w:ascii="Times New Roman"/>
          <w:b w:val="false"/>
          <w:i w:val="false"/>
          <w:color w:val="000000"/>
          <w:sz w:val="28"/>
        </w:rPr>
        <w:t>
      19. Кратность проведения проверок на соответствие квалификационным требованиям в отношении субъектов (объектов) контроля высокой степени риска определяется не чаще одного раза в год.</w:t>
      </w:r>
    </w:p>
    <w:bookmarkEnd w:id="98"/>
    <w:bookmarkStart w:name="z111" w:id="99"/>
    <w:p>
      <w:pPr>
        <w:spacing w:after="0"/>
        <w:ind w:left="0"/>
        <w:jc w:val="both"/>
      </w:pPr>
      <w:r>
        <w:rPr>
          <w:rFonts w:ascii="Times New Roman"/>
          <w:b w:val="false"/>
          <w:i w:val="false"/>
          <w:color w:val="000000"/>
          <w:sz w:val="28"/>
        </w:rPr>
        <w:t>
      20. Кратность проведения профилактического контроля с посещением субъекта контроля определяется по результатам проводимого анализа и оценки получаемых сведений по субъективным критериям, но не чаще двух раз в год.</w:t>
      </w:r>
    </w:p>
    <w:bookmarkEnd w:id="99"/>
    <w:bookmarkStart w:name="z112" w:id="100"/>
    <w:p>
      <w:pPr>
        <w:spacing w:after="0"/>
        <w:ind w:left="0"/>
        <w:jc w:val="both"/>
      </w:pPr>
      <w:r>
        <w:rPr>
          <w:rFonts w:ascii="Times New Roman"/>
          <w:b w:val="false"/>
          <w:i w:val="false"/>
          <w:color w:val="000000"/>
          <w:sz w:val="28"/>
        </w:rPr>
        <w:t xml:space="preserve">
      21. Проверка на соответствие квалификационным требованиям проводится на основании графика проверок на соответствие квалификационным требованиям, утверждаемого регулирующим государственным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144 Кодекса.</w:t>
      </w:r>
    </w:p>
    <w:bookmarkEnd w:id="100"/>
    <w:bookmarkStart w:name="z113" w:id="101"/>
    <w:p>
      <w:pPr>
        <w:spacing w:after="0"/>
        <w:ind w:left="0"/>
        <w:jc w:val="both"/>
      </w:pPr>
      <w:r>
        <w:rPr>
          <w:rFonts w:ascii="Times New Roman"/>
          <w:b w:val="false"/>
          <w:i w:val="false"/>
          <w:color w:val="000000"/>
          <w:sz w:val="28"/>
        </w:rPr>
        <w:t xml:space="preserve">
      Профилактический контроль с посещением субъекта (объекта) контроля проводится на основании полугодовых списков проведения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144-2 Кодекса.</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рисков в области</w:t>
            </w:r>
            <w:r>
              <w:br/>
            </w:r>
            <w:r>
              <w:rPr>
                <w:rFonts w:ascii="Times New Roman"/>
                <w:b w:val="false"/>
                <w:i w:val="false"/>
                <w:color w:val="000000"/>
                <w:sz w:val="20"/>
              </w:rPr>
              <w:t>регулирования рынка зерна</w:t>
            </w:r>
          </w:p>
        </w:tc>
      </w:tr>
    </w:tbl>
    <w:bookmarkStart w:name="z115" w:id="102"/>
    <w:p>
      <w:pPr>
        <w:spacing w:after="0"/>
        <w:ind w:left="0"/>
        <w:jc w:val="left"/>
      </w:pPr>
      <w:r>
        <w:rPr>
          <w:rFonts w:ascii="Times New Roman"/>
          <w:b/>
          <w:i w:val="false"/>
          <w:color w:val="000000"/>
        </w:rPr>
        <w:t xml:space="preserve"> Степень нарушений требований в области регулирования рынка зерна</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зерна в соответствии с данными государственного электронного реестра держателей зерновых расписок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зерна, поступающего на хлебоприемные предприятия:</w:t>
            </w:r>
          </w:p>
          <w:p>
            <w:pPr>
              <w:spacing w:after="20"/>
              <w:ind w:left="20"/>
              <w:jc w:val="both"/>
            </w:pPr>
            <w:r>
              <w:rPr>
                <w:rFonts w:ascii="Times New Roman"/>
                <w:b w:val="false"/>
                <w:i w:val="false"/>
                <w:color w:val="000000"/>
                <w:sz w:val="20"/>
              </w:rPr>
              <w:t>
1) наличие журнала регистрации взвешивания грузов на автомобильных весах;</w:t>
            </w:r>
          </w:p>
          <w:p>
            <w:pPr>
              <w:spacing w:after="20"/>
              <w:ind w:left="20"/>
              <w:jc w:val="both"/>
            </w:pPr>
            <w:r>
              <w:rPr>
                <w:rFonts w:ascii="Times New Roman"/>
                <w:b w:val="false"/>
                <w:i w:val="false"/>
                <w:color w:val="000000"/>
                <w:sz w:val="20"/>
              </w:rPr>
              <w:t>
2) наличие журнала регистрации взвешивания грузов на вагонных весах;</w:t>
            </w:r>
          </w:p>
          <w:p>
            <w:pPr>
              <w:spacing w:after="20"/>
              <w:ind w:left="20"/>
              <w:jc w:val="both"/>
            </w:pPr>
            <w:r>
              <w:rPr>
                <w:rFonts w:ascii="Times New Roman"/>
                <w:b w:val="false"/>
                <w:i w:val="false"/>
                <w:color w:val="000000"/>
                <w:sz w:val="20"/>
              </w:rPr>
              <w:t>
3) наличие журнала регистрации результатов лабораторных анализов;</w:t>
            </w:r>
          </w:p>
          <w:p>
            <w:pPr>
              <w:spacing w:after="20"/>
              <w:ind w:left="20"/>
              <w:jc w:val="both"/>
            </w:pPr>
            <w:r>
              <w:rPr>
                <w:rFonts w:ascii="Times New Roman"/>
                <w:b w:val="false"/>
                <w:i w:val="false"/>
                <w:color w:val="000000"/>
                <w:sz w:val="20"/>
              </w:rPr>
              <w:t>
4) наличие реестра накладных на принятое автомобильным транспортом зерно с определением качества по среднесуточной пробе;</w:t>
            </w:r>
          </w:p>
          <w:p>
            <w:pPr>
              <w:spacing w:after="20"/>
              <w:ind w:left="20"/>
              <w:jc w:val="both"/>
            </w:pPr>
            <w:r>
              <w:rPr>
                <w:rFonts w:ascii="Times New Roman"/>
                <w:b w:val="false"/>
                <w:i w:val="false"/>
                <w:color w:val="000000"/>
                <w:sz w:val="20"/>
              </w:rPr>
              <w:t>
5) наличие реестра накладных на принятое железнодорожным транспортом зерно;</w:t>
            </w:r>
          </w:p>
          <w:p>
            <w:pPr>
              <w:spacing w:after="20"/>
              <w:ind w:left="20"/>
              <w:jc w:val="both"/>
            </w:pPr>
            <w:r>
              <w:rPr>
                <w:rFonts w:ascii="Times New Roman"/>
                <w:b w:val="false"/>
                <w:i w:val="false"/>
                <w:color w:val="000000"/>
                <w:sz w:val="20"/>
              </w:rPr>
              <w:t>
6) наличие отчета о движении зерна и тары на зернохранилище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на очистку, сушку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отгрузки зерна:</w:t>
            </w:r>
          </w:p>
          <w:p>
            <w:pPr>
              <w:spacing w:after="20"/>
              <w:ind w:left="20"/>
              <w:jc w:val="both"/>
            </w:pPr>
            <w:r>
              <w:rPr>
                <w:rFonts w:ascii="Times New Roman"/>
                <w:b w:val="false"/>
                <w:i w:val="false"/>
                <w:color w:val="000000"/>
                <w:sz w:val="20"/>
              </w:rPr>
              <w:t>
1) наличие приказов на отгрузку зерна;</w:t>
            </w:r>
          </w:p>
          <w:p>
            <w:pPr>
              <w:spacing w:after="20"/>
              <w:ind w:left="20"/>
              <w:jc w:val="both"/>
            </w:pPr>
            <w:r>
              <w:rPr>
                <w:rFonts w:ascii="Times New Roman"/>
                <w:b w:val="false"/>
                <w:i w:val="false"/>
                <w:color w:val="000000"/>
                <w:sz w:val="20"/>
              </w:rPr>
              <w:t>
2) наличие реестра отгрузки зерна железнодорожным транспортом;</w:t>
            </w:r>
          </w:p>
          <w:p>
            <w:pPr>
              <w:spacing w:after="20"/>
              <w:ind w:left="20"/>
              <w:jc w:val="both"/>
            </w:pPr>
            <w:r>
              <w:rPr>
                <w:rFonts w:ascii="Times New Roman"/>
                <w:b w:val="false"/>
                <w:i w:val="false"/>
                <w:color w:val="000000"/>
                <w:sz w:val="20"/>
              </w:rPr>
              <w:t>
3) наличие реестра накладных на отгруженное автомобильным транспортом зерно;</w:t>
            </w:r>
          </w:p>
          <w:p>
            <w:pPr>
              <w:spacing w:after="20"/>
              <w:ind w:left="20"/>
              <w:jc w:val="both"/>
            </w:pPr>
            <w:r>
              <w:rPr>
                <w:rFonts w:ascii="Times New Roman"/>
                <w:b w:val="false"/>
                <w:i w:val="false"/>
                <w:color w:val="000000"/>
                <w:sz w:val="20"/>
              </w:rPr>
              <w:t>
4) наличие акта-расчета;</w:t>
            </w:r>
          </w:p>
          <w:p>
            <w:pPr>
              <w:spacing w:after="20"/>
              <w:ind w:left="20"/>
              <w:jc w:val="both"/>
            </w:pPr>
            <w:r>
              <w:rPr>
                <w:rFonts w:ascii="Times New Roman"/>
                <w:b w:val="false"/>
                <w:i w:val="false"/>
                <w:color w:val="000000"/>
                <w:sz w:val="20"/>
              </w:rPr>
              <w:t>
5) наличие накладной на перемещение зерна внутри территории зернохранилища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книги количественно-качественного учета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хранение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трехдневного срока регистрации приказа на выпуск зерновой расписки со дня приема зерна от владельца зерна хлебоприемным предприятием (хлебоприемное предприятие не позднее трех рабочих дней со дня приема зерна от владельца зерна регистрирует приказ на выпуск зерновой расписки)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страхования гражданско-правовой ответственности перед держателями зерновых расписок и ее частей либо участие в системе гарантирования исполнения обязательств по зерновым распискам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товарно-транспортных накладных на зерно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реестров накладных на принятое автомобильным транспортом зерно с определением качества по среднесуточной пробе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наблюдения за хранящимся зерном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аудиторского отчета по годовой финансовой отчетности хлебоприемного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резервной складской емкости в размере 10 % площади зернохранилища (хлебоприемного пункта), на элеваторах – не менее одного свободного силоса на каждый надсилосный транспортер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загруженности хлебоприемных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приобретенных, выписанных, погашенных, испорченных и чистых бланках зерновых расписок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количестве и качестве поступающего на хранение зерна на хлебоприемное предприятие с нового урожая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рисков в области</w:t>
            </w:r>
            <w:r>
              <w:br/>
            </w:r>
            <w:r>
              <w:rPr>
                <w:rFonts w:ascii="Times New Roman"/>
                <w:b w:val="false"/>
                <w:i w:val="false"/>
                <w:color w:val="000000"/>
                <w:sz w:val="20"/>
              </w:rPr>
              <w:t>регулирования рынка зерна</w:t>
            </w:r>
          </w:p>
        </w:tc>
      </w:tr>
    </w:tbl>
    <w:bookmarkStart w:name="z128" w:id="103"/>
    <w:p>
      <w:pPr>
        <w:spacing w:after="0"/>
        <w:ind w:left="0"/>
        <w:jc w:val="left"/>
      </w:pPr>
      <w:r>
        <w:rPr>
          <w:rFonts w:ascii="Times New Roman"/>
          <w:b/>
          <w:i w:val="false"/>
          <w:color w:val="000000"/>
        </w:rPr>
        <w:t xml:space="preserve"> Степень нарушений требований в области регулирования рынка зерна для проведения проверки на соответствие квалификационным требованиям</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праве собственности зернохранилища (элеватора, хлебоприемного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оборудования: зерноочистительных машин, зерносушильного оборудования, весового оборудования (поверенного в установленном порядке), погрузочно-разгрузочных устройств, подъемно-транспортного оборудования, передвижного транспортного оборудования, оборудования активного вентилирования, емкостей для хранения зерна, оборудования для контроля температуры и влажности зерна при хранении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пропускного режима, ограждения территории, асфальтированных и (или) бетонных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производственно-технологической лаборатории для определения качества зерна, прошедшей оценку состояния измерений, оснащенной: лабораторным оборудованием и приборами (влагомерами, сушильными шкафами, весами лабораторными, мельницей для размола зерна, комплектами сит, пробоотборниками, пурками, устройствами для определения содержания белка, содержания и качества клейковины, числа падения, оптическими приборами для определения зараженности зерна); стеллажами для хранения образцов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квалифицированного состава технических руководителей и специалистов, имеющих соответствующее образование (для технических руководителей – высшее техническое, технологическое или агрономическое образование, для специалистов – послесреднее (техническое, технологическое или агрономическое)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 сети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рисков в области</w:t>
            </w:r>
            <w:r>
              <w:br/>
            </w:r>
            <w:r>
              <w:rPr>
                <w:rFonts w:ascii="Times New Roman"/>
                <w:b w:val="false"/>
                <w:i w:val="false"/>
                <w:color w:val="000000"/>
                <w:sz w:val="20"/>
              </w:rPr>
              <w:t>регулирования рынка зерна</w:t>
            </w:r>
          </w:p>
        </w:tc>
      </w:tr>
    </w:tbl>
    <w:bookmarkStart w:name="z130" w:id="104"/>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регулирования рынка зерна</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субъективных критериев для определения степени риска в области регулирования рынка зерна в соответствии со </w:t>
            </w:r>
            <w:r>
              <w:rPr>
                <w:rFonts w:ascii="Times New Roman"/>
                <w:b w:val="false"/>
                <w:i w:val="false"/>
                <w:color w:val="000000"/>
                <w:sz w:val="20"/>
              </w:rPr>
              <w:t>статьей 138</w:t>
            </w:r>
            <w:r>
              <w:rPr>
                <w:rFonts w:ascii="Times New Roman"/>
                <w:b w:val="false"/>
                <w:i w:val="false"/>
                <w:color w:val="000000"/>
                <w:sz w:val="20"/>
              </w:rPr>
              <w:t xml:space="preserve"> Предпринимательского кодекса Республики Казахстан в отношении юридических лиц (хлебоприемных предприятий), осуществляющих деятельность, связанную с производством, хранением, транспортировкой, переработкой и реализацией зерна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 субъекта (объекта) контроля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загруженности хлебоприемных предприятий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субъектами контроля в государственный электронный реестр держателей зерновых расписок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приобретенных, выписанных, погашенных, испорченных и чистых бланках зерновых расписок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субъектами контроля в государственный электронный реестр держателей зерновых расписок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количестве и качестве поступающего на хранение зерна на хлебоприемное предприятие с нового урожая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субъектами контроля в государственный электронный реестр держателей зерновых расписок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июня 2023 года № 120</w:t>
            </w:r>
            <w:r>
              <w:br/>
            </w:r>
            <w:r>
              <w:rPr>
                <w:rFonts w:ascii="Times New Roman"/>
                <w:b w:val="false"/>
                <w:i w:val="false"/>
                <w:color w:val="000000"/>
                <w:sz w:val="20"/>
              </w:rPr>
              <w:t>и 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2023 года № 235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2019 года № 259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2019 года № 63</w:t>
            </w:r>
          </w:p>
        </w:tc>
      </w:tr>
    </w:tbl>
    <w:bookmarkStart w:name="z133" w:id="105"/>
    <w:p>
      <w:pPr>
        <w:spacing w:after="0"/>
        <w:ind w:left="0"/>
        <w:jc w:val="left"/>
      </w:pPr>
      <w:r>
        <w:rPr>
          <w:rFonts w:ascii="Times New Roman"/>
          <w:b/>
          <w:i w:val="false"/>
          <w:color w:val="000000"/>
        </w:rPr>
        <w:t xml:space="preserve"> Проверочный лист в области регулирования рынка зерна для хлебоприемных предприятий</w:t>
      </w:r>
    </w:p>
    <w:bookmarkEnd w:id="105"/>
    <w:p>
      <w:pPr>
        <w:spacing w:after="0"/>
        <w:ind w:left="0"/>
        <w:jc w:val="both"/>
      </w:pPr>
      <w:bookmarkStart w:name="z134" w:id="106"/>
      <w:r>
        <w:rPr>
          <w:rFonts w:ascii="Times New Roman"/>
          <w:b w:val="false"/>
          <w:i w:val="false"/>
          <w:color w:val="000000"/>
          <w:sz w:val="28"/>
        </w:rPr>
        <w:t>
      Государственный орган, назначивший проверку/профилактический контроль</w:t>
      </w:r>
    </w:p>
    <w:bookmarkEnd w:id="106"/>
    <w:p>
      <w:pPr>
        <w:spacing w:after="0"/>
        <w:ind w:left="0"/>
        <w:jc w:val="both"/>
      </w:pPr>
      <w:r>
        <w:rPr>
          <w:rFonts w:ascii="Times New Roman"/>
          <w:b w:val="false"/>
          <w:i w:val="false"/>
          <w:color w:val="000000"/>
          <w:sz w:val="28"/>
        </w:rPr>
        <w:t>с посещением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w:t>
      </w:r>
    </w:p>
    <w:p>
      <w:pPr>
        <w:spacing w:after="0"/>
        <w:ind w:left="0"/>
        <w:jc w:val="both"/>
      </w:pPr>
      <w:r>
        <w:rPr>
          <w:rFonts w:ascii="Times New Roman"/>
          <w:b w:val="false"/>
          <w:i w:val="false"/>
          <w:color w:val="000000"/>
          <w:sz w:val="28"/>
        </w:rPr>
        <w:t>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субъекта (объекта) контроля 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загруженности хлебоприемных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приобретенных, выписанных, погашенных, испорченных и чистых бланках зерновых расписок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количестве и качестве поступающего на хранение зерна на хлебоприемное предприятие с нового урожая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зерна в соответствии с данными государственного электронного реестра держателей зерновых расписок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зерна, поступающего на хлебоприемные предприятия:</w:t>
            </w:r>
          </w:p>
          <w:p>
            <w:pPr>
              <w:spacing w:after="20"/>
              <w:ind w:left="20"/>
              <w:jc w:val="both"/>
            </w:pPr>
            <w:r>
              <w:rPr>
                <w:rFonts w:ascii="Times New Roman"/>
                <w:b w:val="false"/>
                <w:i w:val="false"/>
                <w:color w:val="000000"/>
                <w:sz w:val="20"/>
              </w:rPr>
              <w:t>
1) наличие журнала регистрации взвешивания грузов на автомобильных весах;</w:t>
            </w:r>
          </w:p>
          <w:p>
            <w:pPr>
              <w:spacing w:after="20"/>
              <w:ind w:left="20"/>
              <w:jc w:val="both"/>
            </w:pPr>
            <w:r>
              <w:rPr>
                <w:rFonts w:ascii="Times New Roman"/>
                <w:b w:val="false"/>
                <w:i w:val="false"/>
                <w:color w:val="000000"/>
                <w:sz w:val="20"/>
              </w:rPr>
              <w:t>
2) наличие журнала регистрации взвешивания грузов на вагонных весах</w:t>
            </w:r>
          </w:p>
          <w:p>
            <w:pPr>
              <w:spacing w:after="20"/>
              <w:ind w:left="20"/>
              <w:jc w:val="both"/>
            </w:pPr>
            <w:r>
              <w:rPr>
                <w:rFonts w:ascii="Times New Roman"/>
                <w:b w:val="false"/>
                <w:i w:val="false"/>
                <w:color w:val="000000"/>
                <w:sz w:val="20"/>
              </w:rPr>
              <w:t>
3) наличие журнала регистрации результатов лабораторных анализов;</w:t>
            </w:r>
          </w:p>
          <w:p>
            <w:pPr>
              <w:spacing w:after="20"/>
              <w:ind w:left="20"/>
              <w:jc w:val="both"/>
            </w:pPr>
            <w:r>
              <w:rPr>
                <w:rFonts w:ascii="Times New Roman"/>
                <w:b w:val="false"/>
                <w:i w:val="false"/>
                <w:color w:val="000000"/>
                <w:sz w:val="20"/>
              </w:rPr>
              <w:t>
4) наличие реестра накладных на принятое автомобильным транспортом зерно с определением качества по среднесуточной пробе;</w:t>
            </w:r>
          </w:p>
          <w:p>
            <w:pPr>
              <w:spacing w:after="20"/>
              <w:ind w:left="20"/>
              <w:jc w:val="both"/>
            </w:pPr>
            <w:r>
              <w:rPr>
                <w:rFonts w:ascii="Times New Roman"/>
                <w:b w:val="false"/>
                <w:i w:val="false"/>
                <w:color w:val="000000"/>
                <w:sz w:val="20"/>
              </w:rPr>
              <w:t>
5) наличие реестра накладных на принятое железнодорожным транспортом зерно;</w:t>
            </w:r>
          </w:p>
          <w:p>
            <w:pPr>
              <w:spacing w:after="20"/>
              <w:ind w:left="20"/>
              <w:jc w:val="both"/>
            </w:pPr>
            <w:r>
              <w:rPr>
                <w:rFonts w:ascii="Times New Roman"/>
                <w:b w:val="false"/>
                <w:i w:val="false"/>
                <w:color w:val="000000"/>
                <w:sz w:val="20"/>
              </w:rPr>
              <w:t>
6) наличие отчета о движении зерна и тары на зернохранилище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на очистку, сушку зерна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отгрузки зерна:</w:t>
            </w:r>
          </w:p>
          <w:p>
            <w:pPr>
              <w:spacing w:after="20"/>
              <w:ind w:left="20"/>
              <w:jc w:val="both"/>
            </w:pPr>
            <w:r>
              <w:rPr>
                <w:rFonts w:ascii="Times New Roman"/>
                <w:b w:val="false"/>
                <w:i w:val="false"/>
                <w:color w:val="000000"/>
                <w:sz w:val="20"/>
              </w:rPr>
              <w:t>
1) наличие приказов на отгрузку зерна;</w:t>
            </w:r>
          </w:p>
          <w:p>
            <w:pPr>
              <w:spacing w:after="20"/>
              <w:ind w:left="20"/>
              <w:jc w:val="both"/>
            </w:pPr>
            <w:r>
              <w:rPr>
                <w:rFonts w:ascii="Times New Roman"/>
                <w:b w:val="false"/>
                <w:i w:val="false"/>
                <w:color w:val="000000"/>
                <w:sz w:val="20"/>
              </w:rPr>
              <w:t>
2) наличие реестра отгрузки зерна железнодорожным транспортом;</w:t>
            </w:r>
          </w:p>
          <w:p>
            <w:pPr>
              <w:spacing w:after="20"/>
              <w:ind w:left="20"/>
              <w:jc w:val="both"/>
            </w:pPr>
            <w:r>
              <w:rPr>
                <w:rFonts w:ascii="Times New Roman"/>
                <w:b w:val="false"/>
                <w:i w:val="false"/>
                <w:color w:val="000000"/>
                <w:sz w:val="20"/>
              </w:rPr>
              <w:t>3) наличие реестра накладных на отгруженное автомобильным транспортом зерно;</w:t>
            </w:r>
          </w:p>
          <w:p>
            <w:pPr>
              <w:spacing w:after="20"/>
              <w:ind w:left="20"/>
              <w:jc w:val="both"/>
            </w:pPr>
            <w:r>
              <w:rPr>
                <w:rFonts w:ascii="Times New Roman"/>
                <w:b w:val="false"/>
                <w:i w:val="false"/>
                <w:color w:val="000000"/>
                <w:sz w:val="20"/>
              </w:rPr>
              <w:t>
4) наличие акта-расчета;</w:t>
            </w:r>
          </w:p>
          <w:p>
            <w:pPr>
              <w:spacing w:after="20"/>
              <w:ind w:left="20"/>
              <w:jc w:val="both"/>
            </w:pPr>
            <w:r>
              <w:rPr>
                <w:rFonts w:ascii="Times New Roman"/>
                <w:b w:val="false"/>
                <w:i w:val="false"/>
                <w:color w:val="000000"/>
                <w:sz w:val="20"/>
              </w:rPr>
              <w:t>
5) наличие накладной на перемещение зерна внутри территории зернохранилища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книги количественно-качественного учета зерна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хранение зерна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трехдневного срока регистрации приказа на выпуск зерновой расписки со дня приема зерна от владельца зерна хлебоприемным предприятием (хлебоприемное предприятие не позднее трех рабочих дней со дня приема зерна от владельца зерна регистрирует приказ на выпуск зерновой расписки)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страхования гражданско-правовой ответственности перед держателями зерновых расписок и ее частей либо участие в системе гарантирования исполнения обязательств по зерновым распискам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товарно-транспортных накладных на зерно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реестров накладных на принятое автомобильным транспортом зерно с определением качества по среднесуточной пробе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наблюдения за хранящимся зерном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аудиторского отчета по годовой финансовой отчетности хлебоприемного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резервной складской емкости в размере 10 % площади зернохранилища (хлебоприемного пункта), на элеваторах – не менее одного свободного силоса на каждый надсилосный транспортер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 w:id="107"/>
      <w:r>
        <w:rPr>
          <w:rFonts w:ascii="Times New Roman"/>
          <w:b w:val="false"/>
          <w:i w:val="false"/>
          <w:color w:val="000000"/>
          <w:sz w:val="28"/>
        </w:rPr>
        <w:t>
      Должностное (ые) лицо (а) _____________________ _______________</w:t>
      </w:r>
    </w:p>
    <w:bookmarkEnd w:id="107"/>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июня 2023 года № 120</w:t>
            </w:r>
            <w:r>
              <w:br/>
            </w:r>
            <w:r>
              <w:rPr>
                <w:rFonts w:ascii="Times New Roman"/>
                <w:b w:val="false"/>
                <w:i w:val="false"/>
                <w:color w:val="000000"/>
                <w:sz w:val="20"/>
              </w:rPr>
              <w:t>и 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2023 года № 235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2019 года № 259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2019 года № 63</w:t>
            </w:r>
          </w:p>
        </w:tc>
      </w:tr>
    </w:tbl>
    <w:bookmarkStart w:name="z148" w:id="108"/>
    <w:p>
      <w:pPr>
        <w:spacing w:after="0"/>
        <w:ind w:left="0"/>
        <w:jc w:val="left"/>
      </w:pPr>
      <w:r>
        <w:rPr>
          <w:rFonts w:ascii="Times New Roman"/>
          <w:b/>
          <w:i w:val="false"/>
          <w:color w:val="000000"/>
        </w:rPr>
        <w:t xml:space="preserve"> Проверочный лист в области регулирования рынка зерна для хлебоприемных предприятий</w:t>
      </w:r>
    </w:p>
    <w:bookmarkEnd w:id="108"/>
    <w:p>
      <w:pPr>
        <w:spacing w:after="0"/>
        <w:ind w:left="0"/>
        <w:jc w:val="both"/>
      </w:pPr>
      <w:bookmarkStart w:name="z149" w:id="109"/>
      <w:r>
        <w:rPr>
          <w:rFonts w:ascii="Times New Roman"/>
          <w:b w:val="false"/>
          <w:i w:val="false"/>
          <w:color w:val="000000"/>
          <w:sz w:val="28"/>
        </w:rPr>
        <w:t>
      Государственный орган, назначивший проверку</w:t>
      </w:r>
    </w:p>
    <w:bookmarkEnd w:id="109"/>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w:t>
      </w:r>
    </w:p>
    <w:p>
      <w:pPr>
        <w:spacing w:after="0"/>
        <w:ind w:left="0"/>
        <w:jc w:val="both"/>
      </w:pPr>
      <w:r>
        <w:rPr>
          <w:rFonts w:ascii="Times New Roman"/>
          <w:b w:val="false"/>
          <w:i w:val="false"/>
          <w:color w:val="000000"/>
          <w:sz w:val="28"/>
        </w:rPr>
        <w:t>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w:t>
      </w:r>
    </w:p>
    <w:p>
      <w:pPr>
        <w:spacing w:after="0"/>
        <w:ind w:left="0"/>
        <w:jc w:val="both"/>
      </w:pPr>
      <w:r>
        <w:rPr>
          <w:rFonts w:ascii="Times New Roman"/>
          <w:b w:val="false"/>
          <w:i w:val="false"/>
          <w:color w:val="000000"/>
          <w:sz w:val="28"/>
        </w:rPr>
        <w:t>Бизнес-идентификационный номер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места нахождения_____________________________________________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праве собственности зернохранилища (элеватора, хлебоприемного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оборудования: зерноочистительных машин, зерносушильного оборудования, весового оборудования (поверенного в установленном порядке), погрузочно-разгрузочных устройств, подъемно-транспортного оборудования, передвижного транспортного оборудования, оборудования активного вентилирования, емкостей для хранения зерна, оборудования для контроля температуры и влажности зерна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пропускного режима, ограждения территории, асфальтированных и (или) бетонных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производственно-технологической лаборатории для определения качества зерна, прошедшей оценку состояния измерений, оснащенной: лабораторным оборудованием и приборами (влагомерами, сушильными шкафами, весами лабораторными, мельницей для размола зерна, комплектами сит, пробоотборниками, пурками, устройствами для определения содержания белка, содержания и качества клейковины, числа падения, оптическими приборами для определения зараженности зерна); стеллажами для хранения образцов зерна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квалифицированного состава технических руководителей и специалистов, имеющих соответствующее образование (для технических руководителей – высшее техническое, технологическое или агрономическое образование, для специалистов – послесреднее (техническое, технологическое или агрономическое)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 сети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0" w:id="110"/>
      <w:r>
        <w:rPr>
          <w:rFonts w:ascii="Times New Roman"/>
          <w:b w:val="false"/>
          <w:i w:val="false"/>
          <w:color w:val="000000"/>
          <w:sz w:val="28"/>
        </w:rPr>
        <w:t>
      Должностное (ые) лицо (а) _________________________ ___________</w:t>
      </w:r>
    </w:p>
    <w:bookmarkEnd w:id="110"/>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