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5fbb" w14:textId="9955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критериев оценки степени риска и проверочных листов в сфере газа и газоснабжения"</w:t>
      </w:r>
    </w:p>
    <w:p>
      <w:pPr>
        <w:spacing w:after="0"/>
        <w:ind w:left="0"/>
        <w:jc w:val="both"/>
      </w:pPr>
      <w:r>
        <w:rPr>
          <w:rFonts w:ascii="Times New Roman"/>
          <w:b w:val="false"/>
          <w:i w:val="false"/>
          <w:color w:val="000000"/>
          <w:sz w:val="28"/>
        </w:rPr>
        <w:t>Совместный приказ и.о. Министра энергетики Республики Казахстан от 13 июня 2023 года № 222 и Министра национальной экономики Республики Казахстан от 13 июня 2023 года № 112. Зарегистрирован в Министерстве юстиции Республики Казахстан 14 июня 2023 года № 32791</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24 декабря 2015 года № 748 и Министра национальной экономики Республики Казахстан от 29 декабря 2015 года № 824 "Об утверждении критериев оценки степени риска и проверочных листов в сфере газа и газоснабжения" (зарегистрирован в Реестре государственной регистрации нормативных правовых актов за № 13031)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сфере газа и газоснабжения,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В Критериях используются следующие понятия:</w:t>
      </w:r>
    </w:p>
    <w:bookmarkEnd w:id="3"/>
    <w:bookmarkStart w:name="z9" w:id="4"/>
    <w:p>
      <w:pPr>
        <w:spacing w:after="0"/>
        <w:ind w:left="0"/>
        <w:jc w:val="both"/>
      </w:pPr>
      <w:r>
        <w:rPr>
          <w:rFonts w:ascii="Times New Roman"/>
          <w:b w:val="false"/>
          <w:i w:val="false"/>
          <w:color w:val="000000"/>
          <w:sz w:val="28"/>
        </w:rPr>
        <w:t>
      1) автогазозаправочная станция – технологический комплекс, предназначенный для хранения и розничной реализации сжиженного нефтяного газа владельцам транспортных средств, использующим его в качестве топлива;</w:t>
      </w:r>
    </w:p>
    <w:bookmarkEnd w:id="4"/>
    <w:bookmarkStart w:name="z10" w:id="5"/>
    <w:p>
      <w:pPr>
        <w:spacing w:after="0"/>
        <w:ind w:left="0"/>
        <w:jc w:val="both"/>
      </w:pPr>
      <w:r>
        <w:rPr>
          <w:rFonts w:ascii="Times New Roman"/>
          <w:b w:val="false"/>
          <w:i w:val="false"/>
          <w:color w:val="000000"/>
          <w:sz w:val="28"/>
        </w:rPr>
        <w:t>
      2) автогазонаполнительная компрессорная станция – технологический комплекс, предназначенный для компримирования, хранения и розничной реализации товарного газа владельцам транспортных средств, использующим его в качестве топлива;</w:t>
      </w:r>
    </w:p>
    <w:bookmarkEnd w:id="5"/>
    <w:bookmarkStart w:name="z11" w:id="6"/>
    <w:p>
      <w:pPr>
        <w:spacing w:after="0"/>
        <w:ind w:left="0"/>
        <w:jc w:val="both"/>
      </w:pPr>
      <w:r>
        <w:rPr>
          <w:rFonts w:ascii="Times New Roman"/>
          <w:b w:val="false"/>
          <w:i w:val="false"/>
          <w:color w:val="000000"/>
          <w:sz w:val="28"/>
        </w:rPr>
        <w:t>
      3) субъект контроля – производители товарного, сжиженного нефтяного, сжиженного природного газа, недропользователи, являющиеся собственниками товарного газа, произведенного в процессе переработки добытого ими сырого газа,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собственники сжиженного нефтяного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 ввезенного для потребления на территорию Республики Казахстан, собственники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 национальный оператор, владельцы газонапольнительных станций, газораспределительные организаций, газотранспортные организаций, владельцы газонаполнительных пунктов, владельцы автогазозаправочных станций, владельцы автогазонаполнительных компрессорных станций, владельцы групповых резервуарных установок, промышленные потребители товарного газа, промышленные потребители сжиженного нефтяного газа, промышленные потребители-инвесторы, потребители, включенные в перечень электростанций;</w:t>
      </w:r>
    </w:p>
    <w:bookmarkEnd w:id="6"/>
    <w:bookmarkStart w:name="z12" w:id="7"/>
    <w:p>
      <w:pPr>
        <w:spacing w:after="0"/>
        <w:ind w:left="0"/>
        <w:jc w:val="both"/>
      </w:pPr>
      <w:r>
        <w:rPr>
          <w:rFonts w:ascii="Times New Roman"/>
          <w:b w:val="false"/>
          <w:i w:val="false"/>
          <w:color w:val="000000"/>
          <w:sz w:val="28"/>
        </w:rPr>
        <w:t xml:space="preserve">
      4) балл – количественная мера исчисления риска; </w:t>
      </w:r>
    </w:p>
    <w:bookmarkEnd w:id="7"/>
    <w:bookmarkStart w:name="z13" w:id="8"/>
    <w:p>
      <w:pPr>
        <w:spacing w:after="0"/>
        <w:ind w:left="0"/>
        <w:jc w:val="both"/>
      </w:pPr>
      <w:r>
        <w:rPr>
          <w:rFonts w:ascii="Times New Roman"/>
          <w:b w:val="false"/>
          <w:i w:val="false"/>
          <w:color w:val="000000"/>
          <w:sz w:val="28"/>
        </w:rPr>
        <w:t>
      5) незначительные нарушения – нарушения, связанные с непредоставлением предусмотренных отчетов и сведений;</w:t>
      </w:r>
    </w:p>
    <w:bookmarkEnd w:id="8"/>
    <w:bookmarkStart w:name="z14" w:id="9"/>
    <w:p>
      <w:pPr>
        <w:spacing w:after="0"/>
        <w:ind w:left="0"/>
        <w:jc w:val="both"/>
      </w:pPr>
      <w:r>
        <w:rPr>
          <w:rFonts w:ascii="Times New Roman"/>
          <w:b w:val="false"/>
          <w:i w:val="false"/>
          <w:color w:val="000000"/>
          <w:sz w:val="28"/>
        </w:rPr>
        <w:t xml:space="preserve">
      6) газораспределительная организация – юридическое лицо, осуществляющее транспортировку товарного газа по газораспределительной системе, техническую эксплуатацию газораспределительной системы, а также оптовую и розничную реализацию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7) газотранспортная организация – юридическое лицо, оказывающее услуги по транспортировке товарного газа по соединительным, магистральным газопроводам и (или) хранению товарного газа в хранилищах товарного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8) газонаполнительный пункт – инженерное сооружение, предназначенное для хранения, слива и налива сжиженного нефтяного газа в бытовые баллоны;</w:t>
      </w:r>
    </w:p>
    <w:bookmarkEnd w:id="11"/>
    <w:bookmarkStart w:name="z17" w:id="12"/>
    <w:p>
      <w:pPr>
        <w:spacing w:after="0"/>
        <w:ind w:left="0"/>
        <w:jc w:val="both"/>
      </w:pPr>
      <w:r>
        <w:rPr>
          <w:rFonts w:ascii="Times New Roman"/>
          <w:b w:val="false"/>
          <w:i w:val="false"/>
          <w:color w:val="000000"/>
          <w:sz w:val="28"/>
        </w:rPr>
        <w:t>
      9) газонаполнительная станция – комплекс технологически взаимосвязанных производственных и иных объектов, предназначенных для хранения, слива и налива сжиженного нефтяного газа в железнодорожные цистерны, автогазовозы, бытовые баллоны, а также ремонта и утилизации бытовых баллонов;</w:t>
      </w:r>
    </w:p>
    <w:bookmarkEnd w:id="12"/>
    <w:bookmarkStart w:name="z18" w:id="13"/>
    <w:p>
      <w:pPr>
        <w:spacing w:after="0"/>
        <w:ind w:left="0"/>
        <w:jc w:val="both"/>
      </w:pPr>
      <w:r>
        <w:rPr>
          <w:rFonts w:ascii="Times New Roman"/>
          <w:b w:val="false"/>
          <w:i w:val="false"/>
          <w:color w:val="000000"/>
          <w:sz w:val="28"/>
        </w:rPr>
        <w:t>
      10)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3"/>
    <w:bookmarkStart w:name="z19" w:id="14"/>
    <w:p>
      <w:pPr>
        <w:spacing w:after="0"/>
        <w:ind w:left="0"/>
        <w:jc w:val="both"/>
      </w:pPr>
      <w:r>
        <w:rPr>
          <w:rFonts w:ascii="Times New Roman"/>
          <w:b w:val="false"/>
          <w:i w:val="false"/>
          <w:color w:val="000000"/>
          <w:sz w:val="28"/>
        </w:rPr>
        <w:t>
      11) значительные нарушения – нарушения, связанные с отсутствием контрольных приборов учета и не ведением учета объема газа, несоблюдением требования по направлению национальному оператору коммерческого предложения, несоблюдением требований по передаче по решению уполномоченного органа в сфере газа и газоснабжения газа национальному оператору или привлекаемому инвестору, необеспечением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 допущением эксплуатации одних и тех же соединительных, магистральных газопроводов и хранилищ товарного газа двумя и более газотранспортными организациями, допущением транспортировки и (или) хранения товарного газа при несоответствии товарного газа требованиям технических регламентов и национальных стандартов, а также при непредставлении недропользователем письменного отказа национального оператора от преимущественного права государства либо документов, подтверждающих получение национальным оператором коммерческого предложения об отчуждении, несоблюдением требований по отчуждению по согласованию с уполномоченным органом в сфере газа и газоснабжения объектов единой системы снабжения товарным газом;</w:t>
      </w:r>
    </w:p>
    <w:bookmarkEnd w:id="14"/>
    <w:bookmarkStart w:name="z20" w:id="15"/>
    <w:p>
      <w:pPr>
        <w:spacing w:after="0"/>
        <w:ind w:left="0"/>
        <w:jc w:val="both"/>
      </w:pPr>
      <w:r>
        <w:rPr>
          <w:rFonts w:ascii="Times New Roman"/>
          <w:b w:val="false"/>
          <w:i w:val="false"/>
          <w:color w:val="000000"/>
          <w:sz w:val="28"/>
        </w:rPr>
        <w:t>
      12) производитель – юридическое лицо, осуществляющее производство товарного, сжиженного нефтяного и (или) сжиженного природного газа;</w:t>
      </w:r>
    </w:p>
    <w:bookmarkEnd w:id="15"/>
    <w:bookmarkStart w:name="z21" w:id="16"/>
    <w:p>
      <w:pPr>
        <w:spacing w:after="0"/>
        <w:ind w:left="0"/>
        <w:jc w:val="both"/>
      </w:pPr>
      <w:r>
        <w:rPr>
          <w:rFonts w:ascii="Times New Roman"/>
          <w:b w:val="false"/>
          <w:i w:val="false"/>
          <w:color w:val="000000"/>
          <w:sz w:val="28"/>
        </w:rPr>
        <w:t>
      13)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16"/>
    <w:bookmarkStart w:name="z22" w:id="17"/>
    <w:p>
      <w:pPr>
        <w:spacing w:after="0"/>
        <w:ind w:left="0"/>
        <w:jc w:val="both"/>
      </w:pPr>
      <w:r>
        <w:rPr>
          <w:rFonts w:ascii="Times New Roman"/>
          <w:b w:val="false"/>
          <w:i w:val="false"/>
          <w:color w:val="000000"/>
          <w:sz w:val="28"/>
        </w:rPr>
        <w:t>
      14)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в сфере газа и газоснабжения,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17"/>
    <w:bookmarkStart w:name="z23" w:id="18"/>
    <w:p>
      <w:pPr>
        <w:spacing w:after="0"/>
        <w:ind w:left="0"/>
        <w:jc w:val="both"/>
      </w:pPr>
      <w:r>
        <w:rPr>
          <w:rFonts w:ascii="Times New Roman"/>
          <w:b w:val="false"/>
          <w:i w:val="false"/>
          <w:color w:val="000000"/>
          <w:sz w:val="28"/>
        </w:rPr>
        <w:t>
      15) грубые нарушения – нарушения, связанные с нарушением приоритетного и преимущественного права государства на приобретение газа и объектов системы газоснабжения, с незаконной реализацией газа, нарушением преимущественного права бытовых и коммунально-бытовых потребителей на пользование товарным газом, несоблюдением предельных цен оптовой реализации, невыполнением плана поставки газа на внутренний рынок, несоблюдением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необеспечением бесперебойной транспортировки, хранения и снабжения газом.</w:t>
      </w:r>
    </w:p>
    <w:bookmarkEnd w:id="18"/>
    <w:bookmarkStart w:name="z24" w:id="19"/>
    <w:p>
      <w:pPr>
        <w:spacing w:after="0"/>
        <w:ind w:left="0"/>
        <w:jc w:val="both"/>
      </w:pPr>
      <w:r>
        <w:rPr>
          <w:rFonts w:ascii="Times New Roman"/>
          <w:b w:val="false"/>
          <w:i w:val="false"/>
          <w:color w:val="000000"/>
          <w:sz w:val="28"/>
        </w:rPr>
        <w:t xml:space="preserve">
      16)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w:t>
      </w:r>
    </w:p>
    <w:bookmarkEnd w:id="19"/>
    <w:bookmarkStart w:name="z25" w:id="20"/>
    <w:p>
      <w:pPr>
        <w:spacing w:after="0"/>
        <w:ind w:left="0"/>
        <w:jc w:val="both"/>
      </w:pPr>
      <w:r>
        <w:rPr>
          <w:rFonts w:ascii="Times New Roman"/>
          <w:b w:val="false"/>
          <w:i w:val="false"/>
          <w:color w:val="000000"/>
          <w:sz w:val="28"/>
        </w:rPr>
        <w:t>
      17)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20"/>
    <w:bookmarkStart w:name="z26" w:id="21"/>
    <w:p>
      <w:pPr>
        <w:spacing w:after="0"/>
        <w:ind w:left="0"/>
        <w:jc w:val="both"/>
      </w:pPr>
      <w:r>
        <w:rPr>
          <w:rFonts w:ascii="Times New Roman"/>
          <w:b w:val="false"/>
          <w:i w:val="false"/>
          <w:color w:val="000000"/>
          <w:sz w:val="28"/>
        </w:rPr>
        <w:t>
      18)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1"/>
    <w:bookmarkStart w:name="z27" w:id="22"/>
    <w:p>
      <w:pPr>
        <w:spacing w:after="0"/>
        <w:ind w:left="0"/>
        <w:jc w:val="both"/>
      </w:pPr>
      <w:r>
        <w:rPr>
          <w:rFonts w:ascii="Times New Roman"/>
          <w:b w:val="false"/>
          <w:i w:val="false"/>
          <w:color w:val="000000"/>
          <w:sz w:val="28"/>
        </w:rPr>
        <w:t>
      19)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2"/>
    <w:bookmarkStart w:name="z28" w:id="23"/>
    <w:p>
      <w:pPr>
        <w:spacing w:after="0"/>
        <w:ind w:left="0"/>
        <w:jc w:val="both"/>
      </w:pPr>
      <w:r>
        <w:rPr>
          <w:rFonts w:ascii="Times New Roman"/>
          <w:b w:val="false"/>
          <w:i w:val="false"/>
          <w:color w:val="000000"/>
          <w:sz w:val="28"/>
        </w:rPr>
        <w:t>
      20)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3"/>
    <w:bookmarkStart w:name="z29" w:id="24"/>
    <w:p>
      <w:pPr>
        <w:spacing w:after="0"/>
        <w:ind w:left="0"/>
        <w:jc w:val="both"/>
      </w:pPr>
      <w:r>
        <w:rPr>
          <w:rFonts w:ascii="Times New Roman"/>
          <w:b w:val="false"/>
          <w:i w:val="false"/>
          <w:color w:val="000000"/>
          <w:sz w:val="28"/>
        </w:rPr>
        <w:t>
      21) групповая резервуарная установка – инженерное сооружение, состоящее из группы емкостей, предохранительно-запорной и регулирующей арматуры, газопроводов и предназначенное для хранения и подачи сжиженного нефтяного газа в газопотребляющие системы, эксплуатация которого отнесена к сферам естественных монополий в соответствии с законодательством Республики Казахстан о естественных монополиях;</w:t>
      </w:r>
    </w:p>
    <w:bookmarkEnd w:id="24"/>
    <w:bookmarkStart w:name="z30" w:id="25"/>
    <w:p>
      <w:pPr>
        <w:spacing w:after="0"/>
        <w:ind w:left="0"/>
        <w:jc w:val="both"/>
      </w:pPr>
      <w:r>
        <w:rPr>
          <w:rFonts w:ascii="Times New Roman"/>
          <w:b w:val="false"/>
          <w:i w:val="false"/>
          <w:color w:val="000000"/>
          <w:sz w:val="28"/>
        </w:rPr>
        <w:t>
      22)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w:t>
      </w:r>
    </w:p>
    <w:bookmarkEnd w:id="25"/>
    <w:bookmarkStart w:name="z31" w:id="26"/>
    <w:p>
      <w:pPr>
        <w:spacing w:after="0"/>
        <w:ind w:left="0"/>
        <w:jc w:val="both"/>
      </w:pPr>
      <w:r>
        <w:rPr>
          <w:rFonts w:ascii="Times New Roman"/>
          <w:b w:val="false"/>
          <w:i w:val="false"/>
          <w:color w:val="000000"/>
          <w:sz w:val="28"/>
        </w:rPr>
        <w:t>
      23)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определяемое Правительством Республики Казахстан и осуществляющее деятельность в сфере газа и газоснабжения в целях обеспечения внутренних потребностей Республики Казахстан в товарном газе.";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 </w:t>
      </w:r>
    </w:p>
    <w:bookmarkStart w:name="z33" w:id="27"/>
    <w:p>
      <w:pPr>
        <w:spacing w:after="0"/>
        <w:ind w:left="0"/>
        <w:jc w:val="both"/>
      </w:pPr>
      <w:r>
        <w:rPr>
          <w:rFonts w:ascii="Times New Roman"/>
          <w:b w:val="false"/>
          <w:i w:val="false"/>
          <w:color w:val="000000"/>
          <w:sz w:val="28"/>
        </w:rPr>
        <w:t xml:space="preserve">
      "12. Формирование базы данных и сбор информации необходимы для выявления субъектов (объектов) контроля, нарушающих законодательство Республики Казахстан в области магистрального трубопровода. </w:t>
      </w:r>
    </w:p>
    <w:bookmarkEnd w:id="27"/>
    <w:bookmarkStart w:name="z34" w:id="28"/>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28"/>
    <w:bookmarkStart w:name="z35" w:id="29"/>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уполномоченный орган в сфере газа и газоснабжения;</w:t>
      </w:r>
    </w:p>
    <w:bookmarkEnd w:id="29"/>
    <w:bookmarkStart w:name="z36" w:id="30"/>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8" w:id="31"/>
    <w:p>
      <w:pPr>
        <w:spacing w:after="0"/>
        <w:ind w:left="0"/>
        <w:jc w:val="both"/>
      </w:pPr>
      <w:r>
        <w:rPr>
          <w:rFonts w:ascii="Times New Roman"/>
          <w:b w:val="false"/>
          <w:i w:val="false"/>
          <w:color w:val="000000"/>
          <w:sz w:val="28"/>
        </w:rPr>
        <w:t>
      "14.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(SP) и показателя степени риска по субъективным критериям (SC), с последующей нормализацией значений данных в диапазон от 0 до 100 баллов.</w:t>
      </w:r>
    </w:p>
    <w:bookmarkEnd w:id="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Start w:name="z40" w:id="3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32"/>
    <w:bookmarkStart w:name="z41" w:id="33"/>
    <w:p>
      <w:pPr>
        <w:spacing w:after="0"/>
        <w:ind w:left="0"/>
        <w:jc w:val="both"/>
      </w:pPr>
      <w:r>
        <w:rPr>
          <w:rFonts w:ascii="Times New Roman"/>
          <w:b w:val="false"/>
          <w:i w:val="false"/>
          <w:color w:val="000000"/>
          <w:sz w:val="28"/>
        </w:rPr>
        <w:t>
      SР – показатель степени риска по нарушениям,</w:t>
      </w:r>
    </w:p>
    <w:bookmarkEnd w:id="33"/>
    <w:bookmarkStart w:name="z42" w:id="34"/>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34"/>
    <w:bookmarkStart w:name="z43" w:id="3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35"/>
    <w:bookmarkStart w:name="z44" w:id="36"/>
    <w:p>
      <w:pPr>
        <w:spacing w:after="0"/>
        <w:ind w:left="0"/>
        <w:jc w:val="both"/>
      </w:pPr>
      <w:r>
        <w:rPr>
          <w:rFonts w:ascii="Times New Roman"/>
          <w:b w:val="false"/>
          <w:i w:val="false"/>
          <w:color w:val="000000"/>
          <w:sz w:val="28"/>
        </w:rPr>
        <w:t>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36"/>
    <w:bookmarkStart w:name="z45" w:id="37"/>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12 настоящих Критерий,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37"/>
    <w:bookmarkStart w:name="z46" w:id="38"/>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38"/>
    <w:bookmarkStart w:name="z47" w:id="3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39"/>
    <w:bookmarkStart w:name="z48" w:id="40"/>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4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Start w:name="z50" w:id="41"/>
    <w:p>
      <w:pPr>
        <w:spacing w:after="0"/>
        <w:ind w:left="0"/>
        <w:jc w:val="both"/>
      </w:pPr>
      <w:r>
        <w:rPr>
          <w:rFonts w:ascii="Times New Roman"/>
          <w:b w:val="false"/>
          <w:i w:val="false"/>
          <w:color w:val="000000"/>
          <w:sz w:val="28"/>
        </w:rPr>
        <w:t>
      SРз – показатель значительных нарушений;</w:t>
      </w:r>
    </w:p>
    <w:bookmarkEnd w:id="41"/>
    <w:bookmarkStart w:name="z51" w:id="4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42"/>
    <w:bookmarkStart w:name="z52" w:id="4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43"/>
    <w:bookmarkStart w:name="z53" w:id="44"/>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44"/>
    <w:bookmarkStart w:name="z54" w:id="4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45"/>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Start w:name="z56" w:id="46"/>
    <w:p>
      <w:pPr>
        <w:spacing w:after="0"/>
        <w:ind w:left="0"/>
        <w:jc w:val="both"/>
      </w:pPr>
      <w:r>
        <w:rPr>
          <w:rFonts w:ascii="Times New Roman"/>
          <w:b w:val="false"/>
          <w:i w:val="false"/>
          <w:color w:val="000000"/>
          <w:sz w:val="28"/>
        </w:rPr>
        <w:t>
      SРн – показатель незначительных нарушений;</w:t>
      </w:r>
    </w:p>
    <w:bookmarkEnd w:id="46"/>
    <w:bookmarkStart w:name="z57" w:id="4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47"/>
    <w:bookmarkStart w:name="z58" w:id="4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48"/>
    <w:bookmarkStart w:name="z59" w:id="49"/>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49"/>
    <w:p>
      <w:pPr>
        <w:spacing w:after="0"/>
        <w:ind w:left="0"/>
        <w:jc w:val="both"/>
      </w:pPr>
      <w:r>
        <w:rPr>
          <w:rFonts w:ascii="Times New Roman"/>
          <w:b w:val="false"/>
          <w:i w:val="false"/>
          <w:color w:val="000000"/>
          <w:sz w:val="28"/>
        </w:rPr>
        <w:t>
      SР = SРз + SРн, где:</w:t>
      </w:r>
    </w:p>
    <w:bookmarkStart w:name="z61" w:id="50"/>
    <w:p>
      <w:pPr>
        <w:spacing w:after="0"/>
        <w:ind w:left="0"/>
        <w:jc w:val="both"/>
      </w:pPr>
      <w:r>
        <w:rPr>
          <w:rFonts w:ascii="Times New Roman"/>
          <w:b w:val="false"/>
          <w:i w:val="false"/>
          <w:color w:val="000000"/>
          <w:sz w:val="28"/>
        </w:rPr>
        <w:t>
      SР – показатель степени риска по нарушениям;</w:t>
      </w:r>
    </w:p>
    <w:bookmarkEnd w:id="50"/>
    <w:bookmarkStart w:name="z62" w:id="51"/>
    <w:p>
      <w:pPr>
        <w:spacing w:after="0"/>
        <w:ind w:left="0"/>
        <w:jc w:val="both"/>
      </w:pPr>
      <w:r>
        <w:rPr>
          <w:rFonts w:ascii="Times New Roman"/>
          <w:b w:val="false"/>
          <w:i w:val="false"/>
          <w:color w:val="000000"/>
          <w:sz w:val="28"/>
        </w:rPr>
        <w:t>
      SРз – показатель значительных нарушений;</w:t>
      </w:r>
    </w:p>
    <w:bookmarkEnd w:id="51"/>
    <w:bookmarkStart w:name="z63" w:id="52"/>
    <w:p>
      <w:pPr>
        <w:spacing w:after="0"/>
        <w:ind w:left="0"/>
        <w:jc w:val="both"/>
      </w:pPr>
      <w:r>
        <w:rPr>
          <w:rFonts w:ascii="Times New Roman"/>
          <w:b w:val="false"/>
          <w:i w:val="false"/>
          <w:color w:val="000000"/>
          <w:sz w:val="28"/>
        </w:rPr>
        <w:t>
      SРн – показатель незначительных нарушений.</w:t>
      </w:r>
    </w:p>
    <w:bookmarkEnd w:id="52"/>
    <w:bookmarkStart w:name="z64" w:id="53"/>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53"/>
    <w:bookmarkStart w:name="z65" w:id="5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54"/>
    <w:bookmarkStart w:name="z66" w:id="5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 и в отношении него проводится профилактический контроль с посещением субъекта (объекта) контроля;</w:t>
      </w:r>
    </w:p>
    <w:bookmarkEnd w:id="55"/>
    <w:bookmarkStart w:name="z67" w:id="56"/>
    <w:p>
      <w:pPr>
        <w:spacing w:after="0"/>
        <w:ind w:left="0"/>
        <w:jc w:val="both"/>
      </w:pPr>
      <w:r>
        <w:rPr>
          <w:rFonts w:ascii="Times New Roman"/>
          <w:b w:val="false"/>
          <w:i w:val="false"/>
          <w:color w:val="000000"/>
          <w:sz w:val="28"/>
        </w:rPr>
        <w:t xml:space="preserve">
      3) к низкой степени риска – при показателе степени риска от 0 до 30 включительно и в отношении него не проводится профилактический контроль с посещением субъекта (объекта) контроля. </w:t>
      </w:r>
    </w:p>
    <w:bookmarkEnd w:id="56"/>
    <w:bookmarkStart w:name="z68" w:id="57"/>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57"/>
    <w:bookmarkStart w:name="z69" w:id="58"/>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субъективного критерия,</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304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54000"/>
                    </a:xfrm>
                    <a:prstGeom prst="rect">
                      <a:avLst/>
                    </a:prstGeom>
                  </pic:spPr>
                </pic:pic>
              </a:graphicData>
            </a:graphic>
          </wp:inline>
        </w:drawing>
      </w:r>
    </w:p>
    <w:p>
      <w:pPr>
        <w:spacing w:after="0"/>
        <w:ind w:left="0"/>
        <w:jc w:val="left"/>
      </w:pPr>
      <w:r>
        <w:rPr>
          <w:rFonts w:ascii="Times New Roman"/>
          <w:b w:val="false"/>
          <w:i w:val="false"/>
          <w:color w:val="000000"/>
          <w:sz w:val="28"/>
        </w:rPr>
        <w:t>– удельный вес показателя субъективного критерия ,</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n– количество показателей.</w:t>
      </w:r>
    </w:p>
    <w:bookmarkEnd w:id="61"/>
    <w:bookmarkStart w:name="z74" w:id="6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62"/>
    <w:bookmarkStart w:name="z75" w:id="63"/>
    <w:p>
      <w:pPr>
        <w:spacing w:after="0"/>
        <w:ind w:left="0"/>
        <w:jc w:val="both"/>
      </w:pPr>
      <w:r>
        <w:rPr>
          <w:rFonts w:ascii="Times New Roman"/>
          <w:b w:val="false"/>
          <w:i w:val="false"/>
          <w:color w:val="000000"/>
          <w:sz w:val="28"/>
        </w:rPr>
        <w:t xml:space="preserve">
      Рассчитанные по субъектам (объектам) значения по показателю </w:t>
      </w:r>
    </w:p>
    <w:bookmarkEnd w:id="63"/>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r>
        <w:br/>
      </w:r>
      <w:r>
        <w:rPr>
          <w:rFonts w:ascii="Times New Roman"/>
          <w:b w:val="false"/>
          <w:i w:val="false"/>
          <w:color w:val="000000"/>
          <w:sz w:val="28"/>
        </w:rPr>
        <w:t>
</w:t>
      </w:r>
      <w:r>
        <w:br/>
      </w:r>
    </w:p>
    <w:p>
      <w:pPr>
        <w:spacing w:after="0"/>
        <w:ind w:left="0"/>
        <w:jc w:val="both"/>
      </w:pPr>
      <w:r>
        <w:drawing>
          <wp:inline distT="0" distB="0" distL="0" distR="0">
            <wp:extent cx="162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5842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7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показатель степени риска (итоговый) по субъективным критериям отдельного субъекта (объекта) контроля,</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промежуточный показатель степени риска по субъективным критериям.</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xml:space="preserve">
      Степени нарушений требований в сфере газа и газоснабжения приведены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Критериям.</w:t>
      </w:r>
    </w:p>
    <w:bookmarkEnd w:id="68"/>
    <w:bookmarkStart w:name="z82" w:id="69"/>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в сфере газа и газоснабжения устанавливаются согласно перечню субъективных критериев для определения степени риска по субъективным критериям, которые приведены в приложениях 8 и 9 к настоящим Критериям.</w:t>
      </w:r>
    </w:p>
    <w:bookmarkEnd w:id="69"/>
    <w:bookmarkStart w:name="z83" w:id="70"/>
    <w:p>
      <w:pPr>
        <w:spacing w:after="0"/>
        <w:ind w:left="0"/>
        <w:jc w:val="both"/>
      </w:pPr>
      <w:r>
        <w:rPr>
          <w:rFonts w:ascii="Times New Roman"/>
          <w:b w:val="false"/>
          <w:i w:val="false"/>
          <w:color w:val="000000"/>
          <w:sz w:val="28"/>
        </w:rPr>
        <w:t xml:space="preserve">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Гражданского кодекса Республики Казахстан.</w:t>
      </w:r>
    </w:p>
    <w:bookmarkEnd w:id="70"/>
    <w:bookmarkStart w:name="z84" w:id="71"/>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w:t>
      </w:r>
    </w:p>
    <w:bookmarkEnd w:id="71"/>
    <w:bookmarkStart w:name="z85" w:id="72"/>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определяется органом контроля в отношении субъектов (объектов) контроля, отнесенных к высокой степени риска, не чаще одного раз в год.</w:t>
      </w:r>
    </w:p>
    <w:bookmarkEnd w:id="72"/>
    <w:bookmarkStart w:name="z86" w:id="73"/>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два раза в год до первого мая и до первого декабря отчетного года.</w:t>
      </w:r>
    </w:p>
    <w:bookmarkEnd w:id="73"/>
    <w:bookmarkStart w:name="z87" w:id="74"/>
    <w:p>
      <w:pPr>
        <w:spacing w:after="0"/>
        <w:ind w:left="0"/>
        <w:jc w:val="both"/>
      </w:pPr>
      <w:r>
        <w:rPr>
          <w:rFonts w:ascii="Times New Roman"/>
          <w:b w:val="false"/>
          <w:i w:val="false"/>
          <w:color w:val="000000"/>
          <w:sz w:val="28"/>
        </w:rPr>
        <w:t>
      В случае если в отношении субъекта (объекта) контроля ранее проводился профилактический контроль с посещением, анализируемым периодом является период со дня после даты окончания последнего профилактического контроля с посещением до начала проводимого анализа.</w:t>
      </w:r>
    </w:p>
    <w:bookmarkEnd w:id="74"/>
    <w:bookmarkStart w:name="z88" w:id="75"/>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Критериям оценки степени риска и проверочных листов в сфере газа и газоснабжения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совместному приказу;</w:t>
      </w:r>
    </w:p>
    <w:bookmarkStart w:name="z91" w:id="76"/>
    <w:p>
      <w:pPr>
        <w:spacing w:after="0"/>
        <w:ind w:left="0"/>
        <w:jc w:val="both"/>
      </w:pPr>
      <w:r>
        <w:rPr>
          <w:rFonts w:ascii="Times New Roman"/>
          <w:b w:val="false"/>
          <w:i w:val="false"/>
          <w:color w:val="000000"/>
          <w:sz w:val="28"/>
        </w:rPr>
        <w:t xml:space="preserve">
      дополнить приложениями 8 и 9 к Критериям оценки степени риска в сфере газа и газоснабжения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совместному приказу;</w:t>
      </w:r>
    </w:p>
    <w:bookmarkEnd w:id="76"/>
    <w:bookmarkStart w:name="z92"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указанному совместному приказу:</w:t>
      </w:r>
    </w:p>
    <w:bookmarkEnd w:id="77"/>
    <w:bookmarkStart w:name="z9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наименовании</w:t>
      </w:r>
      <w:r>
        <w:rPr>
          <w:rFonts w:ascii="Times New Roman"/>
          <w:b w:val="false"/>
          <w:i w:val="false"/>
          <w:color w:val="000000"/>
          <w:sz w:val="28"/>
        </w:rPr>
        <w:t xml:space="preserve"> проверочного листа, внесены изменения на казахском языке, текст на русском не меняется;</w:t>
      </w:r>
    </w:p>
    <w:bookmarkEnd w:id="78"/>
    <w:bookmarkStart w:name="z94" w:id="79"/>
    <w:p>
      <w:pPr>
        <w:spacing w:after="0"/>
        <w:ind w:left="0"/>
        <w:jc w:val="both"/>
      </w:pPr>
      <w:r>
        <w:rPr>
          <w:rFonts w:ascii="Times New Roman"/>
          <w:b w:val="false"/>
          <w:i w:val="false"/>
          <w:color w:val="000000"/>
          <w:sz w:val="28"/>
        </w:rPr>
        <w:t>
      в строках, порядковый номер 7, 8 и 9 внесены изменения на казахском языке, текст на русском не меняется;</w:t>
      </w:r>
    </w:p>
    <w:bookmarkEnd w:id="79"/>
    <w:bookmarkStart w:name="z95" w:id="80"/>
    <w:p>
      <w:pPr>
        <w:spacing w:after="0"/>
        <w:ind w:left="0"/>
        <w:jc w:val="both"/>
      </w:pPr>
      <w:r>
        <w:rPr>
          <w:rFonts w:ascii="Times New Roman"/>
          <w:b w:val="false"/>
          <w:i w:val="false"/>
          <w:color w:val="000000"/>
          <w:sz w:val="28"/>
        </w:rPr>
        <w:t>
      дополнить строкой, порядковый номер 10 следующего содержания:</w:t>
      </w:r>
    </w:p>
    <w:bookmarkEnd w:id="80"/>
    <w:bookmarkStart w:name="z96"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2.Департаменту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82"/>
    <w:bookmarkStart w:name="z99" w:id="8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3"/>
    <w:bookmarkStart w:name="z100" w:id="8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84"/>
    <w:bookmarkStart w:name="z101" w:id="8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85"/>
    <w:bookmarkStart w:name="z102" w:id="8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86"/>
    <w:bookmarkStart w:name="z103" w:id="8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Ж. Нурмаганбетов</w:t>
            </w:r>
            <w:r>
              <w:rPr>
                <w:rFonts w:ascii="Times New Roman"/>
                <w:b w:val="false"/>
                <w:i w:val="false"/>
                <w:color w:val="000000"/>
                <w:sz w:val="20"/>
              </w:rPr>
              <w:t>
</w:t>
            </w:r>
          </w:p>
        </w:tc>
      </w:tr>
    </w:tbl>
    <w:p>
      <w:pPr>
        <w:spacing w:after="0"/>
        <w:ind w:left="0"/>
        <w:jc w:val="both"/>
      </w:pPr>
      <w:bookmarkStart w:name="z106" w:id="88"/>
      <w:r>
        <w:rPr>
          <w:rFonts w:ascii="Times New Roman"/>
          <w:b w:val="false"/>
          <w:i w:val="false"/>
          <w:color w:val="000000"/>
          <w:sz w:val="28"/>
        </w:rPr>
        <w:t>
      "СОГЛАСОВАН"</w:t>
      </w:r>
    </w:p>
    <w:bookmarkEnd w:id="8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совместному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112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2023 года № 222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09" w:id="89"/>
    <w:p>
      <w:pPr>
        <w:spacing w:after="0"/>
        <w:ind w:left="0"/>
        <w:jc w:val="left"/>
      </w:pPr>
      <w:r>
        <w:rPr>
          <w:rFonts w:ascii="Times New Roman"/>
          <w:b/>
          <w:i w:val="false"/>
          <w:color w:val="000000"/>
        </w:rPr>
        <w:t xml:space="preserve"> Степени нарушения требований в отношении производителей товарного газа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w:t>
            </w:r>
          </w:p>
          <w:p>
            <w:pPr>
              <w:spacing w:after="20"/>
              <w:ind w:left="20"/>
              <w:jc w:val="both"/>
            </w:pPr>
            <w:r>
              <w:rPr>
                <w:rFonts w:ascii="Times New Roman"/>
                <w:b w:val="false"/>
                <w:i w:val="false"/>
                <w:color w:val="000000"/>
                <w:sz w:val="20"/>
              </w:rPr>
              <w:t>
1) сведений по производству товарного газа ежемесячно не позднее пятого числа месяца, следующего за отчетным;</w:t>
            </w:r>
          </w:p>
          <w:p>
            <w:pPr>
              <w:spacing w:after="20"/>
              <w:ind w:left="20"/>
              <w:jc w:val="both"/>
            </w:pPr>
            <w:r>
              <w:rPr>
                <w:rFonts w:ascii="Times New Roman"/>
                <w:b w:val="false"/>
                <w:i w:val="false"/>
                <w:color w:val="000000"/>
                <w:sz w:val="20"/>
              </w:rPr>
              <w:t>
2) прогнозного объема производства товарного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18" w:id="90"/>
    <w:p>
      <w:pPr>
        <w:spacing w:after="0"/>
        <w:ind w:left="0"/>
        <w:jc w:val="left"/>
      </w:pPr>
      <w:r>
        <w:rPr>
          <w:rFonts w:ascii="Times New Roman"/>
          <w:b/>
          <w:i w:val="false"/>
          <w:color w:val="000000"/>
        </w:rPr>
        <w:t xml:space="preserve"> Степени нарушения требований в отношении производителей сжиженного нефтяного газа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в уполномоченный орган прогнозного объема производства сжиженного нефтяного газа на предстоящие пять лет ежегодно не позднее чем за три месяца до начала планируемого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производителями сжиженного нефтяного газа в уполномоченный орган, ежемесячно не позднее пятого числа месяца, следующего за отчетным, сведений:</w:t>
            </w:r>
          </w:p>
          <w:p>
            <w:pPr>
              <w:spacing w:after="20"/>
              <w:ind w:left="20"/>
              <w:jc w:val="both"/>
            </w:pPr>
            <w:r>
              <w:rPr>
                <w:rFonts w:ascii="Times New Roman"/>
                <w:b w:val="false"/>
                <w:i w:val="false"/>
                <w:color w:val="000000"/>
                <w:sz w:val="20"/>
              </w:rPr>
              <w:t>
1) об объемах производства собственного сжиженного нефтяного газа;</w:t>
            </w:r>
          </w:p>
          <w:p>
            <w:pPr>
              <w:spacing w:after="20"/>
              <w:ind w:left="20"/>
              <w:jc w:val="both"/>
            </w:pPr>
            <w:r>
              <w:rPr>
                <w:rFonts w:ascii="Times New Roman"/>
                <w:b w:val="false"/>
                <w:i w:val="false"/>
                <w:color w:val="000000"/>
                <w:sz w:val="20"/>
              </w:rPr>
              <w:t>
2)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p>
            <w:pPr>
              <w:spacing w:after="20"/>
              <w:ind w:left="20"/>
              <w:jc w:val="both"/>
            </w:pPr>
            <w:r>
              <w:rPr>
                <w:rFonts w:ascii="Times New Roman"/>
                <w:b w:val="false"/>
                <w:i w:val="false"/>
                <w:color w:val="000000"/>
                <w:sz w:val="20"/>
              </w:rPr>
              <w:t>
3) по отгрузке и (или) реализации сжиженного нефтяного газа в рамках плана поставки;</w:t>
            </w:r>
          </w:p>
          <w:p>
            <w:pPr>
              <w:spacing w:after="20"/>
              <w:ind w:left="20"/>
              <w:jc w:val="both"/>
            </w:pPr>
            <w:r>
              <w:rPr>
                <w:rFonts w:ascii="Times New Roman"/>
                <w:b w:val="false"/>
                <w:i w:val="false"/>
                <w:color w:val="000000"/>
                <w:sz w:val="20"/>
              </w:rPr>
              <w:t>
4) по отгрузке и (или) реализации сжиженного нефтяного газа вне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25" w:id="91"/>
    <w:p>
      <w:pPr>
        <w:spacing w:after="0"/>
        <w:ind w:left="0"/>
        <w:jc w:val="left"/>
      </w:pPr>
      <w:r>
        <w:rPr>
          <w:rFonts w:ascii="Times New Roman"/>
          <w:b/>
          <w:i w:val="false"/>
          <w:color w:val="000000"/>
        </w:rPr>
        <w:t xml:space="preserve"> Степени нарушения требований в отношении недропользователей, являющихся собственниками товарного газа, произведенного в процессе переработки добытого ими сырого газа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товарного газа, произведенного недропользователями в процессе переработки добытого ими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имеющими намерение произвести отчуждение товарного газа, в срок не позднее чем за пять месяцев до начала планируемого периода требования по направлению национальному оператору коммерческого предложения с указанием:</w:t>
            </w:r>
          </w:p>
          <w:p>
            <w:pPr>
              <w:spacing w:after="20"/>
              <w:ind w:left="20"/>
              <w:jc w:val="both"/>
            </w:pPr>
            <w:r>
              <w:rPr>
                <w:rFonts w:ascii="Times New Roman"/>
                <w:b w:val="false"/>
                <w:i w:val="false"/>
                <w:color w:val="000000"/>
                <w:sz w:val="20"/>
              </w:rPr>
              <w:t>
1) объемов отчуждаемого сырого и (или) товарного газа;</w:t>
            </w:r>
          </w:p>
          <w:p>
            <w:pPr>
              <w:spacing w:after="20"/>
              <w:ind w:left="20"/>
              <w:jc w:val="both"/>
            </w:pPr>
            <w:r>
              <w:rPr>
                <w:rFonts w:ascii="Times New Roman"/>
                <w:b w:val="false"/>
                <w:i w:val="false"/>
                <w:color w:val="000000"/>
                <w:sz w:val="20"/>
              </w:rPr>
              <w:t>
2) цены отчуждаемого сырого и (или) товарного газа;</w:t>
            </w:r>
          </w:p>
          <w:p>
            <w:pPr>
              <w:spacing w:after="20"/>
              <w:ind w:left="20"/>
              <w:jc w:val="both"/>
            </w:pPr>
            <w:r>
              <w:rPr>
                <w:rFonts w:ascii="Times New Roman"/>
                <w:b w:val="false"/>
                <w:i w:val="false"/>
                <w:color w:val="000000"/>
                <w:sz w:val="20"/>
              </w:rPr>
              <w:t>
3) пункта поставки сырого и (или)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недропользователями, производящими товарный газ из попутного газа, принадлежащего Республике Казахстан, требований по передаче по решению уполномоченного органа товарного газа национальному оператору или товарный газ привлекаемому инвестору для дальнейшего использования в рамках партнерства в сфере газа и газоснабжения по цене, согласованной сторонами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газа и газоснабжения</w:t>
            </w:r>
          </w:p>
        </w:tc>
      </w:tr>
    </w:tbl>
    <w:bookmarkStart w:name="z135" w:id="92"/>
    <w:p>
      <w:pPr>
        <w:spacing w:after="0"/>
        <w:ind w:left="0"/>
        <w:jc w:val="left"/>
      </w:pPr>
      <w:r>
        <w:rPr>
          <w:rFonts w:ascii="Times New Roman"/>
          <w:b/>
          <w:i w:val="false"/>
          <w:color w:val="000000"/>
        </w:rPr>
        <w:t xml:space="preserve"> Степени нарушения требований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и (или) сжиженного нефтяного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сжиженного нефтяного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сжиженным нефтяным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установленной предельной цены сжиженного нефтяного газа, реализуемого в рамках плана поставки на внутренний рынок Республики Казахстан вне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в уполномоченный орган сведений по отгрузке и (или) реализации сжиженного нефтяного газа в рамках плана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плана поставки сжиженного нефтяного газа на внутренний рынок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38" w:id="93"/>
    <w:p>
      <w:pPr>
        <w:spacing w:after="0"/>
        <w:ind w:left="0"/>
        <w:jc w:val="left"/>
      </w:pPr>
      <w:r>
        <w:rPr>
          <w:rFonts w:ascii="Times New Roman"/>
          <w:b/>
          <w:i w:val="false"/>
          <w:color w:val="000000"/>
        </w:rPr>
        <w:t xml:space="preserve"> Степени нарушения требований в отношении национального оператора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транспортировки и хранения товарного газа, в том числе путем заключения договоров с газотранспортными и газораспределительными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централизованного оперативно-диспетчерского управления технологическим режимом работы объектов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сведений по транспортировке, хранению и реализации товарного газа на территории Республики Казахстан, по приобретению сырого и товарного газа в рамках преимущественного права государства, а также прогноза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с газотранспортными системами сопредельных государств по управлению и обеспечению устойчивости режимов транспортировки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создания и функционирования автоматизированной системы коммерческого учета товарного газа, находящегося в единой системе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снабжения товарным газом потребителей, подключенных к объектам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строительства, эксплуатации, модернизации и (или) реконструкции объектов единой системы снабжения товарным газом в соответствии с генеральной схемой газификации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поставке потребителям только товарного газа, за исключением реализации сырого газа промышленным потребителям для использования в качестве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в уполномоченный орган:</w:t>
            </w:r>
          </w:p>
          <w:p>
            <w:pPr>
              <w:spacing w:after="20"/>
              <w:ind w:left="20"/>
              <w:jc w:val="both"/>
            </w:pPr>
            <w:r>
              <w:rPr>
                <w:rFonts w:ascii="Times New Roman"/>
                <w:b w:val="false"/>
                <w:i w:val="false"/>
                <w:color w:val="000000"/>
                <w:sz w:val="20"/>
              </w:rPr>
              <w:t>
1) ежемесячно не позднее двадцатого числа месяца, следующего за отчетным, сведений об объемах транспортировки товарного газа по магистральным газопроводам и его хранения в хранилищах товарного газа;</w:t>
            </w:r>
          </w:p>
          <w:p>
            <w:pPr>
              <w:spacing w:after="20"/>
              <w:ind w:left="20"/>
              <w:jc w:val="both"/>
            </w:pPr>
            <w:r>
              <w:rPr>
                <w:rFonts w:ascii="Times New Roman"/>
                <w:b w:val="false"/>
                <w:i w:val="false"/>
                <w:color w:val="000000"/>
                <w:sz w:val="20"/>
              </w:rPr>
              <w:t>
2) ежегодно не позднее 1 февраля года, следующего за отчетным, сведений об объемах приобретенного сырого и товарного газа в рамках преимущественного права государства;</w:t>
            </w:r>
          </w:p>
          <w:p>
            <w:pPr>
              <w:spacing w:after="20"/>
              <w:ind w:left="20"/>
              <w:jc w:val="both"/>
            </w:pPr>
            <w:r>
              <w:rPr>
                <w:rFonts w:ascii="Times New Roman"/>
                <w:b w:val="false"/>
                <w:i w:val="false"/>
                <w:color w:val="000000"/>
                <w:sz w:val="20"/>
              </w:rPr>
              <w:t>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осуществлению учета объема товарного газа при его транспортировке, хранении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48" w:id="94"/>
    <w:p>
      <w:pPr>
        <w:spacing w:after="0"/>
        <w:ind w:left="0"/>
        <w:jc w:val="left"/>
      </w:pPr>
      <w:r>
        <w:rPr>
          <w:rFonts w:ascii="Times New Roman"/>
          <w:b/>
          <w:i w:val="false"/>
          <w:color w:val="000000"/>
        </w:rPr>
        <w:t xml:space="preserve"> Степени нарушения требований в отношении газотранспортных организаций</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находящихся в собственности газотранспортных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эксплуатации одних и тех же соединительных, магистральных газопроводов и хранилищ товарного газа двумя и более газотранспортными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транспортировке товарного газа по магистральным газопроводам за пределы территории Республики Казахстан исключительно:</w:t>
            </w:r>
          </w:p>
          <w:p>
            <w:pPr>
              <w:spacing w:after="20"/>
              <w:ind w:left="20"/>
              <w:jc w:val="both"/>
            </w:pPr>
            <w:r>
              <w:rPr>
                <w:rFonts w:ascii="Times New Roman"/>
                <w:b w:val="false"/>
                <w:i w:val="false"/>
                <w:color w:val="000000"/>
                <w:sz w:val="20"/>
              </w:rPr>
              <w:t>
1) национальному оператору;</w:t>
            </w:r>
          </w:p>
          <w:p>
            <w:pPr>
              <w:spacing w:after="20"/>
              <w:ind w:left="20"/>
              <w:jc w:val="both"/>
            </w:pPr>
            <w:r>
              <w:rPr>
                <w:rFonts w:ascii="Times New Roman"/>
                <w:b w:val="false"/>
                <w:i w:val="false"/>
                <w:color w:val="000000"/>
                <w:sz w:val="20"/>
              </w:rPr>
              <w:t>
2) производителям товарного газа;</w:t>
            </w:r>
          </w:p>
          <w:p>
            <w:pPr>
              <w:spacing w:after="20"/>
              <w:ind w:left="20"/>
              <w:jc w:val="both"/>
            </w:pPr>
            <w:r>
              <w:rPr>
                <w:rFonts w:ascii="Times New Roman"/>
                <w:b w:val="false"/>
                <w:i w:val="false"/>
                <w:color w:val="000000"/>
                <w:sz w:val="20"/>
              </w:rPr>
              <w:t>
3) недропользователям, являющимся собственниками товарного газа, произведенного в процессе переработки добытого ими сырого газа;</w:t>
            </w:r>
          </w:p>
          <w:p>
            <w:pPr>
              <w:spacing w:after="20"/>
              <w:ind w:left="20"/>
              <w:jc w:val="both"/>
            </w:pPr>
            <w:r>
              <w:rPr>
                <w:rFonts w:ascii="Times New Roman"/>
                <w:b w:val="false"/>
                <w:i w:val="false"/>
                <w:color w:val="000000"/>
                <w:sz w:val="20"/>
              </w:rPr>
              <w:t>
4) владельцам товарного газа, произведенного за пределами территории Республики Казахстан, имеющим намерение осуществить его транспортировку через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предоставления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в транспортировке и (или) хранении товарного газа в случаях:</w:t>
            </w:r>
          </w:p>
          <w:p>
            <w:pPr>
              <w:spacing w:after="20"/>
              <w:ind w:left="20"/>
              <w:jc w:val="both"/>
            </w:pPr>
            <w:r>
              <w:rPr>
                <w:rFonts w:ascii="Times New Roman"/>
                <w:b w:val="false"/>
                <w:i w:val="false"/>
                <w:color w:val="000000"/>
                <w:sz w:val="20"/>
              </w:rPr>
              <w:t>
1) несоответствия товарного газа требованиям технических регламентов и национальных стандартов;</w:t>
            </w:r>
          </w:p>
          <w:p>
            <w:pPr>
              <w:spacing w:after="20"/>
              <w:ind w:left="20"/>
              <w:jc w:val="both"/>
            </w:pPr>
            <w:r>
              <w:rPr>
                <w:rFonts w:ascii="Times New Roman"/>
                <w:b w:val="false"/>
                <w:i w:val="false"/>
                <w:color w:val="000000"/>
                <w:sz w:val="20"/>
              </w:rPr>
              <w:t>
2) непредставления недропользователем письменного отказа национального оператора от преимущественного права государства на приобретение объемов товарного газа, планируемого к транспортировке, либо документов, подтверждающих получение национальным оператором за месяц до обращения недропользователя в газотранспортную организацию коммерческого предложения об отчуждении объемов товарного газа, планируемого к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магистральным газопроводам, на газоизмерительных станциях по приборам учета газа с постоянным подтверждением данных по приборам учета товарного газа, установленным на пунктах приема (передачи) товарного газа и обеспечение передачи данных по учету объема транспортируемого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w:t>
            </w:r>
          </w:p>
          <w:p>
            <w:pPr>
              <w:spacing w:after="20"/>
              <w:ind w:left="20"/>
              <w:jc w:val="both"/>
            </w:pPr>
            <w:r>
              <w:rPr>
                <w:rFonts w:ascii="Times New Roman"/>
                <w:b w:val="false"/>
                <w:i w:val="false"/>
                <w:color w:val="000000"/>
                <w:sz w:val="20"/>
              </w:rPr>
              <w:t>
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2) технической неисправности объектов систем газоснабжения;</w:t>
            </w:r>
          </w:p>
          <w:p>
            <w:pPr>
              <w:spacing w:after="20"/>
              <w:ind w:left="20"/>
              <w:jc w:val="both"/>
            </w:pPr>
            <w:r>
              <w:rPr>
                <w:rFonts w:ascii="Times New Roman"/>
                <w:b w:val="false"/>
                <w:i w:val="false"/>
                <w:color w:val="000000"/>
                <w:sz w:val="20"/>
              </w:rPr>
              <w:t>
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69" w:id="95"/>
    <w:p>
      <w:pPr>
        <w:spacing w:after="0"/>
        <w:ind w:left="0"/>
        <w:jc w:val="left"/>
      </w:pPr>
      <w:r>
        <w:rPr>
          <w:rFonts w:ascii="Times New Roman"/>
          <w:b/>
          <w:i w:val="false"/>
          <w:color w:val="000000"/>
        </w:rPr>
        <w:t xml:space="preserve"> Степени нарушения требований в отношении газораспределительных организаций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приоритетного права государства на приобретение отчуждаемых объектов единой системы снабжения товарным газом, долей в праве общей собственности на объекты единой системы снабжения товарным газом и пакетов акций (долей участия) юридических лиц-собственников объектов единой системы снабжения товарным газом, за исключением:</w:t>
            </w:r>
          </w:p>
          <w:p>
            <w:pPr>
              <w:spacing w:after="20"/>
              <w:ind w:left="20"/>
              <w:jc w:val="both"/>
            </w:pPr>
            <w:r>
              <w:rPr>
                <w:rFonts w:ascii="Times New Roman"/>
                <w:b w:val="false"/>
                <w:i w:val="false"/>
                <w:color w:val="000000"/>
                <w:sz w:val="20"/>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p>
            <w:pPr>
              <w:spacing w:after="20"/>
              <w:ind w:left="20"/>
              <w:jc w:val="both"/>
            </w:pPr>
            <w:r>
              <w:rPr>
                <w:rFonts w:ascii="Times New Roman"/>
                <w:b w:val="false"/>
                <w:i w:val="false"/>
                <w:color w:val="000000"/>
                <w:sz w:val="20"/>
              </w:rPr>
              <w:t>
2) отчуждения акций, обращающихся на организованном рынке ценных бумаг;</w:t>
            </w:r>
          </w:p>
          <w:p>
            <w:pPr>
              <w:spacing w:after="20"/>
              <w:ind w:left="20"/>
              <w:jc w:val="both"/>
            </w:pPr>
            <w:r>
              <w:rPr>
                <w:rFonts w:ascii="Times New Roman"/>
                <w:b w:val="false"/>
                <w:i w:val="false"/>
                <w:color w:val="000000"/>
                <w:sz w:val="20"/>
              </w:rPr>
              <w:t>
3) передачи объектов единой системы снабжения товарным газом, долей в праве общей собственности на объекты единой системы снабжения товарным газом и (или) пакетов акций (долей участия) юридических лиц-собственников объектов единой системы снабжения товарным газом: дочерней организации, в которой не менее девяноста девяти процентов доли участия (пакета акций) прямо или косвенно принадлежит собственнику объекта единой системы снабжения товарным газом;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w:t>
            </w:r>
          </w:p>
          <w:p>
            <w:pPr>
              <w:spacing w:after="20"/>
              <w:ind w:left="20"/>
              <w:jc w:val="both"/>
            </w:pPr>
            <w:r>
              <w:rPr>
                <w:rFonts w:ascii="Times New Roman"/>
                <w:b w:val="false"/>
                <w:i w:val="false"/>
                <w:color w:val="000000"/>
                <w:sz w:val="20"/>
              </w:rPr>
              <w:t>
4) передачи акций (долей участия) в юридическом лице- собственнике объекта единой системы снабжения товарным газом,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лица-собственника объекта единой системы снабжения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государства на приобретение отчуждаемого сырого газа, принадлежащего недропользователям, а также товарного газа, произведенного недропользователями в процессе переработки добытого ими сырого газа, за исключением случаев отчуждения:</w:t>
            </w:r>
          </w:p>
          <w:p>
            <w:pPr>
              <w:spacing w:after="20"/>
              <w:ind w:left="20"/>
              <w:jc w:val="both"/>
            </w:pPr>
            <w:r>
              <w:rPr>
                <w:rFonts w:ascii="Times New Roman"/>
                <w:b w:val="false"/>
                <w:i w:val="false"/>
                <w:color w:val="000000"/>
                <w:sz w:val="20"/>
              </w:rPr>
              <w:t>
1)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2) товарного газа, произведенного из сырого газа, добываемого на газовых и (или) газоконденсатных месторождениях;</w:t>
            </w:r>
          </w:p>
          <w:p>
            <w:pPr>
              <w:spacing w:after="20"/>
              <w:ind w:left="20"/>
              <w:jc w:val="both"/>
            </w:pPr>
            <w:r>
              <w:rPr>
                <w:rFonts w:ascii="Times New Roman"/>
                <w:b w:val="false"/>
                <w:i w:val="false"/>
                <w:color w:val="000000"/>
                <w:sz w:val="20"/>
              </w:rPr>
              <w:t>
3) сжиженного природного газа и товарного газа, полученного в процессе его регазификации;</w:t>
            </w:r>
          </w:p>
          <w:p>
            <w:pPr>
              <w:spacing w:after="20"/>
              <w:ind w:left="20"/>
              <w:jc w:val="both"/>
            </w:pPr>
            <w:r>
              <w:rPr>
                <w:rFonts w:ascii="Times New Roman"/>
                <w:b w:val="false"/>
                <w:i w:val="false"/>
                <w:color w:val="000000"/>
                <w:sz w:val="20"/>
              </w:rPr>
              <w:t>
4) сырого газа, реализуемого в соответствии с международными договорами Республики Казахстан;</w:t>
            </w:r>
          </w:p>
          <w:p>
            <w:pPr>
              <w:spacing w:after="20"/>
              <w:ind w:left="20"/>
              <w:jc w:val="both"/>
            </w:pPr>
            <w:r>
              <w:rPr>
                <w:rFonts w:ascii="Times New Roman"/>
                <w:b w:val="false"/>
                <w:i w:val="false"/>
                <w:color w:val="000000"/>
                <w:sz w:val="20"/>
              </w:rPr>
              <w:t>
5) товарного газа, произведенного за пределами территории Республики Казахстан и ввезенного для потребления на территорию Республики Казахстан;</w:t>
            </w:r>
          </w:p>
          <w:p>
            <w:pPr>
              <w:spacing w:after="20"/>
              <w:ind w:left="20"/>
              <w:jc w:val="both"/>
            </w:pPr>
            <w:r>
              <w:rPr>
                <w:rFonts w:ascii="Times New Roman"/>
                <w:b w:val="false"/>
                <w:i w:val="false"/>
                <w:color w:val="000000"/>
                <w:sz w:val="20"/>
              </w:rPr>
              <w:t>
6) товарного газа, произведенного за пределами территории Республики Казахстан из сырого газа, добываемого в Республике Казахстан, на основании международных договоров Республики Казахстан;</w:t>
            </w:r>
          </w:p>
          <w:p>
            <w:pPr>
              <w:spacing w:after="20"/>
              <w:ind w:left="20"/>
              <w:jc w:val="both"/>
            </w:pPr>
            <w:r>
              <w:rPr>
                <w:rFonts w:ascii="Times New Roman"/>
                <w:b w:val="false"/>
                <w:i w:val="false"/>
                <w:color w:val="000000"/>
                <w:sz w:val="20"/>
              </w:rPr>
              <w:t>
7) товарного газа, произведенного на основании договора, заключаемого в рамках партнерства в сфере газа и газоснабжения;</w:t>
            </w:r>
          </w:p>
          <w:p>
            <w:pPr>
              <w:spacing w:after="20"/>
              <w:ind w:left="20"/>
              <w:jc w:val="both"/>
            </w:pPr>
            <w:r>
              <w:rPr>
                <w:rFonts w:ascii="Times New Roman"/>
                <w:b w:val="false"/>
                <w:i w:val="false"/>
                <w:color w:val="000000"/>
                <w:sz w:val="20"/>
              </w:rPr>
              <w:t>
8) сырого и (или) товарного газа, добытого (произведенного) недропользователем в рамках соглашения (контракта) о разделе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реализации товарного и (или) сжиженного природного газа с обязательным их перемещением через контрольные приборы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преимущественного права бытовых и коммунально-бытовых потребителей на пользование товарным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бесперебойному снабжению товарным газом потребителей, подключенных к газораспределительной системе за исключением:</w:t>
            </w:r>
          </w:p>
          <w:p>
            <w:pPr>
              <w:spacing w:after="20"/>
              <w:ind w:left="20"/>
              <w:jc w:val="both"/>
            </w:pPr>
            <w:r>
              <w:rPr>
                <w:rFonts w:ascii="Times New Roman"/>
                <w:b w:val="false"/>
                <w:i w:val="false"/>
                <w:color w:val="000000"/>
                <w:sz w:val="20"/>
              </w:rPr>
              <w:t>
1) нарушения потребителем правил безопасности объектов систем газоснабжения;</w:t>
            </w:r>
          </w:p>
          <w:p>
            <w:pPr>
              <w:spacing w:after="20"/>
              <w:ind w:left="20"/>
              <w:jc w:val="both"/>
            </w:pPr>
            <w:r>
              <w:rPr>
                <w:rFonts w:ascii="Times New Roman"/>
                <w:b w:val="false"/>
                <w:i w:val="false"/>
                <w:color w:val="000000"/>
                <w:sz w:val="20"/>
              </w:rPr>
              <w:t>
2) технической неисправности объектов систем газоснабжения;</w:t>
            </w:r>
          </w:p>
          <w:p>
            <w:pPr>
              <w:spacing w:after="20"/>
              <w:ind w:left="20"/>
              <w:jc w:val="both"/>
            </w:pPr>
            <w:r>
              <w:rPr>
                <w:rFonts w:ascii="Times New Roman"/>
                <w:b w:val="false"/>
                <w:i w:val="false"/>
                <w:color w:val="000000"/>
                <w:sz w:val="20"/>
              </w:rPr>
              <w:t>
3) самовольного подключения потребителем газового оборудования;</w:t>
            </w:r>
          </w:p>
          <w:p>
            <w:pPr>
              <w:spacing w:after="20"/>
              <w:ind w:left="20"/>
              <w:jc w:val="both"/>
            </w:pPr>
            <w:r>
              <w:rPr>
                <w:rFonts w:ascii="Times New Roman"/>
                <w:b w:val="false"/>
                <w:i w:val="false"/>
                <w:color w:val="000000"/>
                <w:sz w:val="20"/>
              </w:rPr>
              <w:t>
4) недопущения представителей газотранспортной или газораспределительной организации или владельца групповых резервуарных установок к газопроводам, газовому оборудованию и приборам учета;</w:t>
            </w:r>
          </w:p>
          <w:p>
            <w:pPr>
              <w:spacing w:after="20"/>
              <w:ind w:left="20"/>
              <w:jc w:val="both"/>
            </w:pPr>
            <w:r>
              <w:rPr>
                <w:rFonts w:ascii="Times New Roman"/>
                <w:b w:val="false"/>
                <w:i w:val="false"/>
                <w:color w:val="000000"/>
                <w:sz w:val="20"/>
              </w:rPr>
              <w:t>
5) наличия дебиторской задолженности за поставленный товарный или сжиженный нефтяной газ в соответствии с договором розничной реализации товарного или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предельных цен оптовой реализации товарного газа на внутреннем рынке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предоставлению, ежемесячно не позднее двадцатого числа месяца, следующего за отчетным, в уполномоченный орган сведений о реализации товарного газа, в том числе ввезенного для потребления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представлению ежемесячно не позднее пятого числа месяца, следующего за отчетным, национальному оператору сведений об объемах транспортировки и хранения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w:t>
            </w:r>
          </w:p>
          <w:p>
            <w:pPr>
              <w:spacing w:after="20"/>
              <w:ind w:left="20"/>
              <w:jc w:val="both"/>
            </w:pPr>
            <w:r>
              <w:rPr>
                <w:rFonts w:ascii="Times New Roman"/>
                <w:b w:val="false"/>
                <w:i w:val="false"/>
                <w:color w:val="000000"/>
                <w:sz w:val="20"/>
              </w:rPr>
              <w:t>
1) по предоставлению владельцам товарного газа на равных условиях доступа к мощностям магистрального газопровода, хранилища товарного газа или газораспределительной системы;</w:t>
            </w:r>
          </w:p>
          <w:p>
            <w:pPr>
              <w:spacing w:after="20"/>
              <w:ind w:left="20"/>
              <w:jc w:val="both"/>
            </w:pPr>
            <w:r>
              <w:rPr>
                <w:rFonts w:ascii="Times New Roman"/>
                <w:b w:val="false"/>
                <w:i w:val="false"/>
                <w:color w:val="000000"/>
                <w:sz w:val="20"/>
              </w:rPr>
              <w:t>
2) по предоставлению по запросу уполномоченного органа информацию о наличии свободных мощностей магистрального газопровода, хранилища товарного газа, газораспределительной системы, а также программу их использования;</w:t>
            </w:r>
          </w:p>
          <w:p>
            <w:pPr>
              <w:spacing w:after="20"/>
              <w:ind w:left="20"/>
              <w:jc w:val="both"/>
            </w:pPr>
            <w:r>
              <w:rPr>
                <w:rFonts w:ascii="Times New Roman"/>
                <w:b w:val="false"/>
                <w:i w:val="false"/>
                <w:color w:val="000000"/>
                <w:sz w:val="20"/>
              </w:rPr>
              <w:t>
3) по информированию владельцев товарного газа и (или) потребителей о планируемых ремонтных и профилактических работах, влияющих на исполнение обязательств по транспортировке, хранению и (или) розничной реализации товарного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товарного газа, за исключением национальному оператору и (или) владельцам автогазонаполнительных компрессорных станций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ведению учета объема товарного газа, транспортируемого по газораспределительным системам, по приборам учета и обеспечению передачи данных по учету объема реализуемого товарного газа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отчуждению по согласованию с уполномоченным органом объектов единой системы снабжения товарным газом, находящиеся в собственности национального оператора или газотранспортных и (или) газораспределительных организаций, пятьдесят и более процентов голосующих акций (долей участия) которых принадлежат национальному оператору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перевозки сжиженного нефтяного и сжиженного природного газа железнодорожным, автомобильным, морским и внутренним водным транспортом за пределы территории Республики Казахстан самостоятельно либо с привлечением лиц, оказывающих услуги по перевозке сжиженного нефтяного и (или) сжиженного природного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оптовой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реализации сжиженного нефтяного газа за пределы территории Республики Казахстан обладают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 осуществление розничной реализации сжиженного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92" w:id="9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отношении производителей сжиженного нефтяного газа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w:t>
            </w:r>
          </w:p>
          <w:p>
            <w:pPr>
              <w:spacing w:after="20"/>
              <w:ind w:left="20"/>
              <w:jc w:val="both"/>
            </w:pPr>
            <w:r>
              <w:rPr>
                <w:rFonts w:ascii="Times New Roman"/>
                <w:b w:val="false"/>
                <w:i w:val="false"/>
                <w:color w:val="000000"/>
                <w:sz w:val="20"/>
              </w:rPr>
              <w:t>(в сумме должно составлять не более 100),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совместному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в сфере газа и газоснабжения</w:t>
            </w:r>
          </w:p>
        </w:tc>
      </w:tr>
    </w:tbl>
    <w:bookmarkStart w:name="z195" w:id="9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отношении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w:t>
            </w:r>
          </w:p>
          <w:p>
            <w:pPr>
              <w:spacing w:after="20"/>
              <w:ind w:left="20"/>
              <w:jc w:val="both"/>
            </w:pPr>
            <w:r>
              <w:rPr>
                <w:rFonts w:ascii="Times New Roman"/>
                <w:b w:val="false"/>
                <w:i w:val="false"/>
                <w:color w:val="000000"/>
                <w:sz w:val="20"/>
              </w:rPr>
              <w:t>(в сумме должно составлять не более 100),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сформированного уполномоченным органом в сфере газа и газоснабжения плана поставки сжиженного нефтяного газа на внутренний рынок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список на профилактический контроль с посещением субъекта (объекта) контроля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