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76ce" w14:textId="23d7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июня 2023 года № 100. Зарегистрирован в Министерстве юстиции Республики Казахстан 5 июня 2023 года № 32694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 и медицинских изделий,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хранения и транспортировки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здоровье народа и системе здравоохранения" (далее – Кодекс) и определяют порядок хранения и транспортировки лекарственных средств и медицинских изделий.";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Хранение лекарственных средств и медицинских изделий должно осуществляться при относительной влажности воздуха в помещении хранения не выше 65 %, если в инструкции к примению производителем производителем не указано другое.";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процессе хранения лекарственных средств и медицинских изделий ответственным лицом не реже одного раза в неделю осуществляется контроль качества посредством визуального осмотра состояния упаковки (тары) и внешних изменений лекарственных средств и медицинских изделий.";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Не допускается хранение лекарственных средств у отопительных приборов. Расстояние от стеллажей, поддонов, шкафов для хранения лекарственных средств и медицинских изделий от нагревательного элемента должно быть не менее 1 метра.";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Лекарственные средства, решение об обращении которых еще не принято, возвращенные, изъятые из категории пригодных для поставки, в отношении которых есть подозрения в фальсификации, отозванные и отклоненные хранятся изолированно физически или другим надежным эквивалентным способом (например, электронным) от остальной продукции в специально отведенном месте (зоне), защищенном от неправомерного доступа.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и места их хранения имеют четкие обозначения.";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Лекарственные средства, требующие защиты от воздействия повышенной температуры, хранятся при комнатной температуре (от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в прохладном месте (от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С). В некоторых случаях требуется более низкая температура хранения (от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С), что указывается на этикетке, в инструкции по медицинскому применению, в нормативном документе.";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