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9887" w14:textId="dc69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а также Правил и объема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26. Зарегистрировано в Министерстве юстиции Республики Казахстан 2 июня 2023 года № 32672.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35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нормативный правовой акт Республики Казахстан, а также отдельные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26</w:t>
            </w:r>
          </w:p>
        </w:tc>
      </w:tr>
    </w:tbl>
    <w:bookmarkStart w:name="z18" w:id="11"/>
    <w:p>
      <w:pPr>
        <w:spacing w:after="0"/>
        <w:ind w:left="0"/>
        <w:jc w:val="left"/>
      </w:pPr>
      <w:r>
        <w:rPr>
          <w:rFonts w:ascii="Times New Roman"/>
          <w:b/>
          <w:i w:val="false"/>
          <w:color w:val="000000"/>
        </w:rPr>
        <w:t xml:space="preserve"> Правила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35 Социального кодекса Республики Казахстан и определяют порядок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w:t>
      </w:r>
    </w:p>
    <w:bookmarkEnd w:id="13"/>
    <w:bookmarkStart w:name="z21" w:id="14"/>
    <w:p>
      <w:pPr>
        <w:spacing w:after="0"/>
        <w:ind w:left="0"/>
        <w:jc w:val="left"/>
      </w:pPr>
      <w:r>
        <w:rPr>
          <w:rFonts w:ascii="Times New Roman"/>
          <w:b/>
          <w:i w:val="false"/>
          <w:color w:val="000000"/>
        </w:rPr>
        <w:t xml:space="preserve"> Глава 2. Порядок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w:t>
      </w:r>
    </w:p>
    <w:bookmarkEnd w:id="14"/>
    <w:bookmarkStart w:name="z22" w:id="15"/>
    <w:p>
      <w:pPr>
        <w:spacing w:after="0"/>
        <w:ind w:left="0"/>
        <w:jc w:val="both"/>
      </w:pPr>
      <w:r>
        <w:rPr>
          <w:rFonts w:ascii="Times New Roman"/>
          <w:b w:val="false"/>
          <w:i w:val="false"/>
          <w:color w:val="000000"/>
          <w:sz w:val="28"/>
        </w:rPr>
        <w:t xml:space="preserve">
      2. Единый накопительный пенсионный фонд публикует на собственном интернет-ресурсе сведения о структуре инвестиционного портфеля, сформированного за счет пенсионных активов, на государственном и русском языках с указанием наименования, количества, номинальной стоимости финансовых инструментов, а также процентного соотношения размера инвестиций в данные финансовые инструменты к инвестиционному портфелю единого накопительного пенсионного фонда,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3. Сервер интернет-ресурса единого накопительного пенсионного фонда, используемый для размещения сведений о структуре инвестиционного портфеля, сформированного за счет пенсионных активов, подключается к сети Интернет по каналу связи с пропускной способностью не менее 20 Mbit/sec. Время загрузки любой страницы интернет-ресурса пользователем сети Интернет, использующим для подключения к сети Интернет канал связи со скоростью передачи данных 128 Kbit/sec, составляет не более 10 секунд в зависимости от наполнения страницы графикой и другими элементами.</w:t>
      </w:r>
    </w:p>
    <w:bookmarkEnd w:id="16"/>
    <w:bookmarkStart w:name="z24" w:id="17"/>
    <w:p>
      <w:pPr>
        <w:spacing w:after="0"/>
        <w:ind w:left="0"/>
        <w:jc w:val="both"/>
      </w:pPr>
      <w:r>
        <w:rPr>
          <w:rFonts w:ascii="Times New Roman"/>
          <w:b w:val="false"/>
          <w:i w:val="false"/>
          <w:color w:val="000000"/>
          <w:sz w:val="28"/>
        </w:rPr>
        <w:t>
      На интернет-ресурсе указываются дата и время размещения информации, а также обеспечивается их постоянное хранение.</w:t>
      </w:r>
    </w:p>
    <w:bookmarkEnd w:id="17"/>
    <w:bookmarkStart w:name="z25" w:id="18"/>
    <w:p>
      <w:pPr>
        <w:spacing w:after="0"/>
        <w:ind w:left="0"/>
        <w:jc w:val="both"/>
      </w:pPr>
      <w:r>
        <w:rPr>
          <w:rFonts w:ascii="Times New Roman"/>
          <w:b w:val="false"/>
          <w:i w:val="false"/>
          <w:color w:val="000000"/>
          <w:sz w:val="28"/>
        </w:rPr>
        <w:t>
      4. Сведения о структуре инвестиционного портфеля, сформированного за счет пенсионных активов единого накопительного пенсионного фонда, публикуются (размещаются) на интернет-ресурсе единого накопительного пенсионного фонда ежемесячно в срок не позднее последнего числа месяца, следующего за отчетным месяцем.</w:t>
      </w:r>
    </w:p>
    <w:bookmarkEnd w:id="18"/>
    <w:bookmarkStart w:name="z26" w:id="19"/>
    <w:p>
      <w:pPr>
        <w:spacing w:after="0"/>
        <w:ind w:left="0"/>
        <w:jc w:val="both"/>
      </w:pPr>
      <w:r>
        <w:rPr>
          <w:rFonts w:ascii="Times New Roman"/>
          <w:b w:val="false"/>
          <w:i w:val="false"/>
          <w:color w:val="000000"/>
          <w:sz w:val="28"/>
        </w:rPr>
        <w:t>
      Сведения о структуре инвестиционного портфеля, сформированного за счет пенсионных активов единого накопительного пенсионного фонда, публикуются (размещаются) отдельно в отношении инвестиционного портфеля, сформированного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в отношении инвестиционного портфеля, сформированного за счет пенсионных активов единого накопительного пенсионного фонда, находящихся в доверительном управлении управляющего инвестиционным портфелем.</w:t>
      </w:r>
    </w:p>
    <w:bookmarkEnd w:id="19"/>
    <w:bookmarkStart w:name="z27" w:id="20"/>
    <w:p>
      <w:pPr>
        <w:spacing w:after="0"/>
        <w:ind w:left="0"/>
        <w:jc w:val="both"/>
      </w:pPr>
      <w:r>
        <w:rPr>
          <w:rFonts w:ascii="Times New Roman"/>
          <w:b w:val="false"/>
          <w:i w:val="false"/>
          <w:color w:val="000000"/>
          <w:sz w:val="28"/>
        </w:rPr>
        <w:t>
      5. Данные в сведениях о структуре инвестиционного портфеля, сформированного за счет пенсионных активов единого накопительного пенсионного фонда, указываются в национальной валюте - тенге по курсу Национального Банка Республики Казахстан на соответствующую отчетную дату.</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срокам</w:t>
            </w:r>
            <w:r>
              <w:br/>
            </w:r>
            <w:r>
              <w:rPr>
                <w:rFonts w:ascii="Times New Roman"/>
                <w:b w:val="false"/>
                <w:i w:val="false"/>
                <w:color w:val="000000"/>
                <w:sz w:val="20"/>
              </w:rPr>
              <w:t>публикации на интернет-ресурсе</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сведений</w:t>
            </w:r>
            <w:r>
              <w:br/>
            </w:r>
            <w:r>
              <w:rPr>
                <w:rFonts w:ascii="Times New Roman"/>
                <w:b w:val="false"/>
                <w:i w:val="false"/>
                <w:color w:val="000000"/>
                <w:sz w:val="20"/>
              </w:rPr>
              <w:t>о структуре инвестиционного</w:t>
            </w:r>
            <w:r>
              <w:br/>
            </w:r>
            <w:r>
              <w:rPr>
                <w:rFonts w:ascii="Times New Roman"/>
                <w:b w:val="false"/>
                <w:i w:val="false"/>
                <w:color w:val="000000"/>
                <w:sz w:val="20"/>
              </w:rPr>
              <w:t>портфеля единого накопительного</w:t>
            </w:r>
            <w:r>
              <w:br/>
            </w:r>
            <w:r>
              <w:rPr>
                <w:rFonts w:ascii="Times New Roman"/>
                <w:b w:val="false"/>
                <w:i w:val="false"/>
                <w:color w:val="000000"/>
                <w:sz w:val="20"/>
              </w:rPr>
              <w:t>пенсионного фонда за счет</w:t>
            </w:r>
            <w:r>
              <w:br/>
            </w:r>
            <w:r>
              <w:rPr>
                <w:rFonts w:ascii="Times New Roman"/>
                <w:b w:val="false"/>
                <w:i w:val="false"/>
                <w:color w:val="000000"/>
                <w:sz w:val="20"/>
              </w:rPr>
              <w:t>пенсионных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 w:id="21"/>
    <w:p>
      <w:pPr>
        <w:spacing w:after="0"/>
        <w:ind w:left="0"/>
        <w:jc w:val="left"/>
      </w:pPr>
      <w:r>
        <w:rPr>
          <w:rFonts w:ascii="Times New Roman"/>
          <w:b/>
          <w:i w:val="false"/>
          <w:color w:val="000000"/>
        </w:rPr>
        <w:t xml:space="preserve"> Структура инвестиционного портфеля по пенсионным активам,</w:t>
      </w:r>
      <w:r>
        <w:br/>
      </w:r>
      <w:r>
        <w:rPr>
          <w:rFonts w:ascii="Times New Roman"/>
          <w:b/>
          <w:i w:val="false"/>
          <w:color w:val="000000"/>
        </w:rPr>
        <w:t>сформированным за счет _____________ (вид взносов) единого накопительного</w:t>
      </w:r>
      <w:r>
        <w:br/>
      </w:r>
      <w:r>
        <w:rPr>
          <w:rFonts w:ascii="Times New Roman"/>
          <w:b/>
          <w:i w:val="false"/>
          <w:color w:val="000000"/>
        </w:rPr>
        <w:t>пенсионного фонда, находящихся под управлением</w:t>
      </w:r>
      <w:r>
        <w:br/>
      </w:r>
      <w:r>
        <w:rPr>
          <w:rFonts w:ascii="Times New Roman"/>
          <w:b/>
          <w:i w:val="false"/>
          <w:color w:val="000000"/>
        </w:rPr>
        <w:t>_________________________________________</w:t>
      </w:r>
      <w:r>
        <w:br/>
      </w:r>
      <w:r>
        <w:rPr>
          <w:rFonts w:ascii="Times New Roman"/>
          <w:b/>
          <w:i w:val="false"/>
          <w:color w:val="000000"/>
        </w:rPr>
        <w:t>(наименование)</w:t>
      </w:r>
    </w:p>
    <w:bookmarkEnd w:id="21"/>
    <w:bookmarkStart w:name="z31" w:id="22"/>
    <w:p>
      <w:pPr>
        <w:spacing w:after="0"/>
        <w:ind w:left="0"/>
        <w:jc w:val="both"/>
      </w:pPr>
      <w:r>
        <w:rPr>
          <w:rFonts w:ascii="Times New Roman"/>
          <w:b w:val="false"/>
          <w:i w:val="false"/>
          <w:color w:val="000000"/>
          <w:sz w:val="28"/>
        </w:rPr>
        <w:t>
      по состоянию на "_____" "_______________" 20 __ года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 вид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(базового актива)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от инвестиционного портфеля,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4"/>
    <w:p>
      <w:pPr>
        <w:spacing w:after="0"/>
        <w:ind w:left="0"/>
        <w:jc w:val="both"/>
      </w:pPr>
      <w:r>
        <w:rPr>
          <w:rFonts w:ascii="Times New Roman"/>
          <w:b w:val="false"/>
          <w:i w:val="false"/>
          <w:color w:val="000000"/>
          <w:sz w:val="28"/>
        </w:rPr>
        <w:t>
      Пояснения по заполнению таблицы.</w:t>
      </w:r>
    </w:p>
    <w:bookmarkEnd w:id="24"/>
    <w:bookmarkStart w:name="z34" w:id="25"/>
    <w:p>
      <w:pPr>
        <w:spacing w:after="0"/>
        <w:ind w:left="0"/>
        <w:jc w:val="both"/>
      </w:pPr>
      <w:r>
        <w:rPr>
          <w:rFonts w:ascii="Times New Roman"/>
          <w:b w:val="false"/>
          <w:i w:val="false"/>
          <w:color w:val="000000"/>
          <w:sz w:val="28"/>
        </w:rPr>
        <w:t>
      Структура инвестиционного портфеля единого накопительного пенсионного фонда, сформированного за счет пенсионных активов, публикуется раздельно в разрезе активов, находящихся в доверительном управлении Национального Банка Республики Казахстан и управляющих инвестиционным портфелем.</w:t>
      </w:r>
    </w:p>
    <w:bookmarkEnd w:id="25"/>
    <w:bookmarkStart w:name="z35" w:id="26"/>
    <w:p>
      <w:pPr>
        <w:spacing w:after="0"/>
        <w:ind w:left="0"/>
        <w:jc w:val="both"/>
      </w:pPr>
      <w:r>
        <w:rPr>
          <w:rFonts w:ascii="Times New Roman"/>
          <w:b w:val="false"/>
          <w:i w:val="false"/>
          <w:color w:val="000000"/>
          <w:sz w:val="28"/>
        </w:rPr>
        <w:t>
      При публикации сведений о структуре инвестиционного портфеля, сформированного за счет пенсионных активов, находящихся в доверительном управлении Национального Банка Республики Казахстан, указывается "Национальный Банк Республики Казахстан".</w:t>
      </w:r>
    </w:p>
    <w:bookmarkEnd w:id="26"/>
    <w:bookmarkStart w:name="z36" w:id="27"/>
    <w:p>
      <w:pPr>
        <w:spacing w:after="0"/>
        <w:ind w:left="0"/>
        <w:jc w:val="both"/>
      </w:pPr>
      <w:r>
        <w:rPr>
          <w:rFonts w:ascii="Times New Roman"/>
          <w:b w:val="false"/>
          <w:i w:val="false"/>
          <w:color w:val="000000"/>
          <w:sz w:val="28"/>
        </w:rPr>
        <w:t>
      При публикации сведений о структуре инвестиционного портфеля, сформированного за счет пенсионных активов, находящихся в доверительном управлении управляющего инвестиционным портфелем, указывается наименование данного управляющего инвестиционным портфелем.</w:t>
      </w:r>
    </w:p>
    <w:bookmarkEnd w:id="27"/>
    <w:bookmarkStart w:name="z37" w:id="28"/>
    <w:p>
      <w:pPr>
        <w:spacing w:after="0"/>
        <w:ind w:left="0"/>
        <w:jc w:val="both"/>
      </w:pPr>
      <w:r>
        <w:rPr>
          <w:rFonts w:ascii="Times New Roman"/>
          <w:b w:val="false"/>
          <w:i w:val="false"/>
          <w:color w:val="000000"/>
          <w:sz w:val="28"/>
        </w:rPr>
        <w:t>
      В строке "Вид взносов"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28"/>
    <w:bookmarkStart w:name="z38" w:id="29"/>
    <w:p>
      <w:pPr>
        <w:spacing w:after="0"/>
        <w:ind w:left="0"/>
        <w:jc w:val="both"/>
      </w:pPr>
      <w:r>
        <w:rPr>
          <w:rFonts w:ascii="Times New Roman"/>
          <w:b w:val="false"/>
          <w:i w:val="false"/>
          <w:color w:val="000000"/>
          <w:sz w:val="28"/>
        </w:rPr>
        <w:t>
      В графе 1 указывается полное наименование эмитента финансового инструмента и его вид (в том числе ценная бумага, полученная в результате операции "обратное репо", "репо", аффинированный драгоценный металл, производный финансовый инструмент, банковский депозит).</w:t>
      </w:r>
    </w:p>
    <w:bookmarkEnd w:id="29"/>
    <w:bookmarkStart w:name="z39" w:id="30"/>
    <w:p>
      <w:pPr>
        <w:spacing w:after="0"/>
        <w:ind w:left="0"/>
        <w:jc w:val="both"/>
      </w:pPr>
      <w:r>
        <w:rPr>
          <w:rFonts w:ascii="Times New Roman"/>
          <w:b w:val="false"/>
          <w:i w:val="false"/>
          <w:color w:val="000000"/>
          <w:sz w:val="28"/>
        </w:rPr>
        <w:t>
      В графе 2 указывается краткое название (уникальный идентификатор) котируемых финансовых инструментов, а также международный идентификационный номер (International Securities Identification Number – ISIN) для финансовых инструментов, либо номер договора на открытие банковского депозита.</w:t>
      </w:r>
    </w:p>
    <w:bookmarkEnd w:id="30"/>
    <w:bookmarkStart w:name="z40" w:id="31"/>
    <w:p>
      <w:pPr>
        <w:spacing w:after="0"/>
        <w:ind w:left="0"/>
        <w:jc w:val="both"/>
      </w:pPr>
      <w:r>
        <w:rPr>
          <w:rFonts w:ascii="Times New Roman"/>
          <w:b w:val="false"/>
          <w:i w:val="false"/>
          <w:color w:val="000000"/>
          <w:sz w:val="28"/>
        </w:rPr>
        <w:t>
      В графе 3 указывается код валюты в соответствии с Национальным классификатором Республики Казахстан НК РК 07 ISO 4217 "Коды для представления валют и фондов" финансового инструмента, в которой он номинирован, либо код валюты, являющейся базовым активом по производному финансовому инструменту.</w:t>
      </w:r>
    </w:p>
    <w:bookmarkEnd w:id="31"/>
    <w:bookmarkStart w:name="z41" w:id="32"/>
    <w:p>
      <w:pPr>
        <w:spacing w:after="0"/>
        <w:ind w:left="0"/>
        <w:jc w:val="both"/>
      </w:pPr>
      <w:r>
        <w:rPr>
          <w:rFonts w:ascii="Times New Roman"/>
          <w:b w:val="false"/>
          <w:i w:val="false"/>
          <w:color w:val="000000"/>
          <w:sz w:val="28"/>
        </w:rPr>
        <w:t>
      В графе 4 указывается имеющаяся рейтинговая оценка ценной бумаги для долговых ценных бумаг, рейтинг страны по иностранным государственным эмиссионным ценным бумагам, рейтинг эмитента (банка) для акций (банковского вклада), либо рейтинг контрпартнера для производных финансовых инструментов, а также наименование рейтингового агентства, присвоившего рейтинговую оценку. При наличии двух и более рейтинговых оценок указывается наивысшая рейтинговая оценка по международной и (или) национальной шкале одного из рейтинговых агентств.</w:t>
      </w:r>
    </w:p>
    <w:bookmarkEnd w:id="32"/>
    <w:bookmarkStart w:name="z42" w:id="33"/>
    <w:p>
      <w:pPr>
        <w:spacing w:after="0"/>
        <w:ind w:left="0"/>
        <w:jc w:val="both"/>
      </w:pPr>
      <w:r>
        <w:rPr>
          <w:rFonts w:ascii="Times New Roman"/>
          <w:b w:val="false"/>
          <w:i w:val="false"/>
          <w:color w:val="000000"/>
          <w:sz w:val="28"/>
        </w:rPr>
        <w:t>
      Данная графа не заполняется по государственным ценным бумагам Республики Казахстан.</w:t>
      </w:r>
    </w:p>
    <w:bookmarkEnd w:id="33"/>
    <w:bookmarkStart w:name="z43" w:id="34"/>
    <w:p>
      <w:pPr>
        <w:spacing w:after="0"/>
        <w:ind w:left="0"/>
        <w:jc w:val="both"/>
      </w:pPr>
      <w:r>
        <w:rPr>
          <w:rFonts w:ascii="Times New Roman"/>
          <w:b w:val="false"/>
          <w:i w:val="false"/>
          <w:color w:val="000000"/>
          <w:sz w:val="28"/>
        </w:rPr>
        <w:t>
      В графе 5 указывается дата погашения (закрытия) в формате "дата/месяц/год" для долговых ценных бумаг (операции "обратное репо" или "репо" или банковского вклада или производного финансового инструмента) в соответствии с условиями выпуска (сделки (договора). Для долевых и иных бессрочных ценных бумаг данная графа не заполняется.</w:t>
      </w:r>
    </w:p>
    <w:bookmarkEnd w:id="34"/>
    <w:bookmarkStart w:name="z44" w:id="35"/>
    <w:p>
      <w:pPr>
        <w:spacing w:after="0"/>
        <w:ind w:left="0"/>
        <w:jc w:val="both"/>
      </w:pPr>
      <w:r>
        <w:rPr>
          <w:rFonts w:ascii="Times New Roman"/>
          <w:b w:val="false"/>
          <w:i w:val="false"/>
          <w:color w:val="000000"/>
          <w:sz w:val="28"/>
        </w:rPr>
        <w:t>
      В графе 6 указывается количество финансовых инструментов в штуках.</w:t>
      </w:r>
    </w:p>
    <w:bookmarkEnd w:id="35"/>
    <w:bookmarkStart w:name="z45" w:id="36"/>
    <w:p>
      <w:pPr>
        <w:spacing w:after="0"/>
        <w:ind w:left="0"/>
        <w:jc w:val="both"/>
      </w:pPr>
      <w:r>
        <w:rPr>
          <w:rFonts w:ascii="Times New Roman"/>
          <w:b w:val="false"/>
          <w:i w:val="false"/>
          <w:color w:val="000000"/>
          <w:sz w:val="28"/>
        </w:rPr>
        <w:t>
      В графе 7 указывается номинальная стоимость облигаций, рассчитываемая как произведение количества облигаций одного выпуска на номинальную стоимость одной облигации данного выпуска, в тысячах тенге.</w:t>
      </w:r>
    </w:p>
    <w:bookmarkEnd w:id="36"/>
    <w:bookmarkStart w:name="z46" w:id="37"/>
    <w:p>
      <w:pPr>
        <w:spacing w:after="0"/>
        <w:ind w:left="0"/>
        <w:jc w:val="both"/>
      </w:pPr>
      <w:r>
        <w:rPr>
          <w:rFonts w:ascii="Times New Roman"/>
          <w:b w:val="false"/>
          <w:i w:val="false"/>
          <w:color w:val="000000"/>
          <w:sz w:val="28"/>
        </w:rPr>
        <w:t>
      В графе 8 указывается текущая суммарная стоимость финансовых инструментов, включающая начисленное вознаграждение, на отчетную дату с учетом их обесценения в тысячах тенге.</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26</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38"/>
    <w:p>
      <w:pPr>
        <w:spacing w:after="0"/>
        <w:ind w:left="0"/>
        <w:jc w:val="left"/>
      </w:pPr>
      <w:r>
        <w:rPr>
          <w:rFonts w:ascii="Times New Roman"/>
          <w:b/>
          <w:i w:val="false"/>
          <w:color w:val="000000"/>
        </w:rPr>
        <w:t xml:space="preserve"> Правила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38"/>
    <w:bookmarkStart w:name="z49" w:id="39"/>
    <w:p>
      <w:pPr>
        <w:spacing w:after="0"/>
        <w:ind w:left="0"/>
        <w:jc w:val="left"/>
      </w:pPr>
      <w:r>
        <w:rPr>
          <w:rFonts w:ascii="Times New Roman"/>
          <w:b/>
          <w:i w:val="false"/>
          <w:color w:val="000000"/>
        </w:rPr>
        <w:t xml:space="preserve"> Глава 1. Общие положения</w:t>
      </w:r>
    </w:p>
    <w:bookmarkEnd w:id="39"/>
    <w:bookmarkStart w:name="z50" w:id="40"/>
    <w:p>
      <w:pPr>
        <w:spacing w:after="0"/>
        <w:ind w:left="0"/>
        <w:jc w:val="both"/>
      </w:pPr>
      <w:r>
        <w:rPr>
          <w:rFonts w:ascii="Times New Roman"/>
          <w:b w:val="false"/>
          <w:i w:val="false"/>
          <w:color w:val="000000"/>
          <w:sz w:val="28"/>
        </w:rPr>
        <w:t xml:space="preserve">
      1. Настоящие Правила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35 Социального кодекса Республики Казахстан и определяют порядок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40"/>
    <w:bookmarkStart w:name="z51" w:id="41"/>
    <w:p>
      <w:pPr>
        <w:spacing w:after="0"/>
        <w:ind w:left="0"/>
        <w:jc w:val="left"/>
      </w:pPr>
      <w:r>
        <w:rPr>
          <w:rFonts w:ascii="Times New Roman"/>
          <w:b/>
          <w:i w:val="false"/>
          <w:color w:val="000000"/>
        </w:rPr>
        <w:t xml:space="preserve"> Глава 2. Порядок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41"/>
    <w:bookmarkStart w:name="z52" w:id="42"/>
    <w:p>
      <w:pPr>
        <w:spacing w:after="0"/>
        <w:ind w:left="0"/>
        <w:jc w:val="both"/>
      </w:pPr>
      <w:r>
        <w:rPr>
          <w:rFonts w:ascii="Times New Roman"/>
          <w:b w:val="false"/>
          <w:i w:val="false"/>
          <w:color w:val="000000"/>
          <w:sz w:val="28"/>
        </w:rPr>
        <w:t>
      2. Единый накопительный пенсионный фонд размещает на собственном интернет-ресурсе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(далее – перечень управляющих), включающий следующие сведения:</w:t>
      </w:r>
    </w:p>
    <w:bookmarkEnd w:id="42"/>
    <w:bookmarkStart w:name="z53" w:id="43"/>
    <w:p>
      <w:pPr>
        <w:spacing w:after="0"/>
        <w:ind w:left="0"/>
        <w:jc w:val="both"/>
      </w:pPr>
      <w:r>
        <w:rPr>
          <w:rFonts w:ascii="Times New Roman"/>
          <w:b w:val="false"/>
          <w:i w:val="false"/>
          <w:color w:val="000000"/>
          <w:sz w:val="28"/>
        </w:rPr>
        <w:t xml:space="preserve">
      1) наименование управляющего инвестиционным портфелем; </w:t>
      </w:r>
    </w:p>
    <w:bookmarkEnd w:id="43"/>
    <w:bookmarkStart w:name="z54" w:id="44"/>
    <w:p>
      <w:pPr>
        <w:spacing w:after="0"/>
        <w:ind w:left="0"/>
        <w:jc w:val="both"/>
      </w:pPr>
      <w:r>
        <w:rPr>
          <w:rFonts w:ascii="Times New Roman"/>
          <w:b w:val="false"/>
          <w:i w:val="false"/>
          <w:color w:val="000000"/>
          <w:sz w:val="28"/>
        </w:rPr>
        <w:t>
      2) местонахождение, номера контактных телефонов, адрес электронной почты и домен интернет-ресурса управляющего инвестиционным портфелем;</w:t>
      </w:r>
    </w:p>
    <w:bookmarkEnd w:id="44"/>
    <w:bookmarkStart w:name="z55" w:id="45"/>
    <w:p>
      <w:pPr>
        <w:spacing w:after="0"/>
        <w:ind w:left="0"/>
        <w:jc w:val="both"/>
      </w:pPr>
      <w:r>
        <w:rPr>
          <w:rFonts w:ascii="Times New Roman"/>
          <w:b w:val="false"/>
          <w:i w:val="false"/>
          <w:color w:val="000000"/>
          <w:sz w:val="28"/>
        </w:rPr>
        <w:t>
      3) дата и номер заключения между единым накопительным пенсионным фондом и управляющим инвестиционным портфелем договора о доверительном управлении пенсионными активами;</w:t>
      </w:r>
    </w:p>
    <w:bookmarkEnd w:id="45"/>
    <w:bookmarkStart w:name="z56" w:id="46"/>
    <w:p>
      <w:pPr>
        <w:spacing w:after="0"/>
        <w:ind w:left="0"/>
        <w:jc w:val="both"/>
      </w:pPr>
      <w:r>
        <w:rPr>
          <w:rFonts w:ascii="Times New Roman"/>
          <w:b w:val="false"/>
          <w:i w:val="false"/>
          <w:color w:val="000000"/>
          <w:sz w:val="28"/>
        </w:rPr>
        <w:t>
      4) наименование кастодиана, осуществляющего хранение и учет пенсионных активов, переданных управляющему инвестиционным портфелем.</w:t>
      </w:r>
    </w:p>
    <w:bookmarkEnd w:id="46"/>
    <w:bookmarkStart w:name="z57" w:id="47"/>
    <w:p>
      <w:pPr>
        <w:spacing w:after="0"/>
        <w:ind w:left="0"/>
        <w:jc w:val="both"/>
      </w:pPr>
      <w:r>
        <w:rPr>
          <w:rFonts w:ascii="Times New Roman"/>
          <w:b w:val="false"/>
          <w:i w:val="false"/>
          <w:color w:val="000000"/>
          <w:sz w:val="28"/>
        </w:rPr>
        <w:t xml:space="preserve">
      3. Единый накопительный пенсионный фонд включает сведения об управляющем инвестиционным портфелем в перечень управляющих, размещенный на интернет-ресурсе единого накопительного пенсионного фонда, в течение 1 (одного) рабочего дня после заключения с управляющим инвестиционным портфелем договора о доверительном управлении пенсионными активами. </w:t>
      </w:r>
    </w:p>
    <w:bookmarkEnd w:id="47"/>
    <w:bookmarkStart w:name="z58" w:id="48"/>
    <w:p>
      <w:pPr>
        <w:spacing w:after="0"/>
        <w:ind w:left="0"/>
        <w:jc w:val="both"/>
      </w:pPr>
      <w:r>
        <w:rPr>
          <w:rFonts w:ascii="Times New Roman"/>
          <w:b w:val="false"/>
          <w:i w:val="false"/>
          <w:color w:val="000000"/>
          <w:sz w:val="28"/>
        </w:rPr>
        <w:t>
      4. При расторжении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сведения об управляющем инвестиционным портфелем подлежат исключению из перечня управляющих в течение 1 (одного) рабочего дня после его расторжения.</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26</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49"/>
    <w:p>
      <w:pPr>
        <w:spacing w:after="0"/>
        <w:ind w:left="0"/>
        <w:jc w:val="left"/>
      </w:pPr>
      <w:r>
        <w:rPr>
          <w:rFonts w:ascii="Times New Roman"/>
          <w:b/>
          <w:i w:val="false"/>
          <w:color w:val="000000"/>
        </w:rPr>
        <w:t xml:space="preserve"> Перечень нормативного правового акта Республики Казахстан, а также отдельных структурных элементов некоторых нормативных правовых актов Республики Казахстан, которые признаются утратившими силу</w:t>
      </w:r>
    </w:p>
    <w:bookmarkEnd w:id="49"/>
    <w:bookmarkStart w:name="z61"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199 "Об утверждении Правил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 информации об управляющих инвестиционным портфелем в средствах массовой информации" (зарегистрировано в Реестре государственной регистрации нормативных правовых актов под № 8672).</w:t>
      </w:r>
    </w:p>
    <w:bookmarkEnd w:id="50"/>
    <w:bookmarkStart w:name="z62"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февраля 2014 года № 33 "О внесении изменений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9317).</w:t>
      </w:r>
    </w:p>
    <w:bookmarkEnd w:id="51"/>
    <w:bookmarkStart w:name="z63"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и пенсионного обеспечения, в которые вносятся изменения, утвержденного постановлением Правления Национального Банка Республики Казахстан от 31 декабря 2019 года № 262 "О внесении изменений в некоторые нормативные правовые акты Республики Казахстан по вопросам рынка ценных бумаг и пенсионного обеспечения" (зарегистрировано в Реестре государственной регистрации нормативных правовых актов под № 19864).</w:t>
      </w:r>
    </w:p>
    <w:bookmarkEnd w:id="52"/>
    <w:bookmarkStart w:name="z64"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накопительной пенсионной системы,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17 февраля 2021 года № 33 "О внесении изменений и дополнения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22238).</w:t>
      </w:r>
    </w:p>
    <w:bookmarkEnd w:id="53"/>
    <w:bookmarkStart w:name="z65"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и пенсионного обеспечения,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66 "О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 (зарегистрировано в Реестре государственной регистрации нормативных правовых актов под № 29609).</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