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96c6" w14:textId="4a89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31. Зарегистрировано в Министерстве юстиции Республики Казахстан 2 июня 2023 года № 32668.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47 Социального Кодекса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и "</w:t>
      </w:r>
      <w:r>
        <w:rPr>
          <w:rFonts w:ascii="Times New Roman"/>
          <w:b w:val="false"/>
          <w:i w:val="false"/>
          <w:color w:val="000000"/>
          <w:sz w:val="28"/>
        </w:rPr>
        <w:t>О разрешениях и уведомлениях</w:t>
      </w: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39 "Об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(зарегистрировано в Реестре государственной регистрации нормативных правовых актов под № 20238);</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оказания государственных услуг в сфере государственного регулирования деятельности на рынке ценных бумаг и деятельности добровольных накопительных пенсионных фондов,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14 марта 2022 года № 24 "О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 деятельности на рынке ценных бумаг и деятельности добровольных накопительных пенсионных фондов" (зарегистрировано в Реестре государственной регистрации нормативных правовых актов под № 27213).</w:t>
      </w:r>
    </w:p>
    <w:bookmarkEnd w:id="4"/>
    <w:bookmarkStart w:name="z9"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шестидесяти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31</w:t>
            </w:r>
          </w:p>
        </w:tc>
      </w:tr>
    </w:tbl>
    <w:bookmarkStart w:name="z18" w:id="12"/>
    <w:p>
      <w:pPr>
        <w:spacing w:after="0"/>
        <w:ind w:left="0"/>
        <w:jc w:val="left"/>
      </w:pPr>
      <w:r>
        <w:rPr>
          <w:rFonts w:ascii="Times New Roman"/>
          <w:b/>
          <w:i w:val="false"/>
          <w:color w:val="000000"/>
        </w:rPr>
        <w:t xml:space="preserve"> Правила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47 Социального Кодекса Республики Казахстан" (далее – Социальный кодекс),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условия и порядок выдачи разрешения на проведение реорганизации добровольного накопительного пенсионного фонда и порядок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14"/>
    <w:bookmarkStart w:name="z21" w:id="1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 кодексе</w:t>
      </w:r>
      <w:r>
        <w:rPr>
          <w:rFonts w:ascii="Times New Roman"/>
          <w:b w:val="false"/>
          <w:i w:val="false"/>
          <w:color w:val="000000"/>
          <w:sz w:val="28"/>
        </w:rPr>
        <w:t xml:space="preserve"> и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о государственных услугах.</w:t>
      </w:r>
    </w:p>
    <w:bookmarkEnd w:id="15"/>
    <w:bookmarkStart w:name="z22" w:id="16"/>
    <w:p>
      <w:pPr>
        <w:spacing w:after="0"/>
        <w:ind w:left="0"/>
        <w:jc w:val="both"/>
      </w:pPr>
      <w:r>
        <w:rPr>
          <w:rFonts w:ascii="Times New Roman"/>
          <w:b w:val="false"/>
          <w:i w:val="false"/>
          <w:color w:val="000000"/>
          <w:sz w:val="28"/>
        </w:rPr>
        <w:t>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6"/>
    <w:bookmarkStart w:name="z23" w:id="17"/>
    <w:p>
      <w:pPr>
        <w:spacing w:after="0"/>
        <w:ind w:left="0"/>
        <w:jc w:val="left"/>
      </w:pPr>
      <w:r>
        <w:rPr>
          <w:rFonts w:ascii="Times New Roman"/>
          <w:b/>
          <w:i w:val="false"/>
          <w:color w:val="000000"/>
        </w:rPr>
        <w:t xml:space="preserve"> Глава 2. Условия выдачи разрешения на проведение реорганизации Фонда</w:t>
      </w:r>
    </w:p>
    <w:bookmarkEnd w:id="17"/>
    <w:bookmarkStart w:name="z24" w:id="18"/>
    <w:p>
      <w:pPr>
        <w:spacing w:after="0"/>
        <w:ind w:left="0"/>
        <w:jc w:val="both"/>
      </w:pPr>
      <w:r>
        <w:rPr>
          <w:rFonts w:ascii="Times New Roman"/>
          <w:b w:val="false"/>
          <w:i w:val="false"/>
          <w:color w:val="000000"/>
          <w:sz w:val="28"/>
        </w:rPr>
        <w:t>
      3. Реорганизация добровольного накопительного пенсионного фонда (далее – Фонд) осуществляется в форме присоединения после выдачи разрешения уполномоченного органа по регулированию, контролю и надзору финансового рынка и финансовых организаций (далее – уполномоченный орган).</w:t>
      </w:r>
    </w:p>
    <w:bookmarkEnd w:id="18"/>
    <w:bookmarkStart w:name="z25" w:id="19"/>
    <w:p>
      <w:pPr>
        <w:spacing w:after="0"/>
        <w:ind w:left="0"/>
        <w:jc w:val="both"/>
      </w:pPr>
      <w:r>
        <w:rPr>
          <w:rFonts w:ascii="Times New Roman"/>
          <w:b w:val="false"/>
          <w:i w:val="false"/>
          <w:color w:val="000000"/>
          <w:sz w:val="28"/>
        </w:rPr>
        <w:t>
      4. Фонды на основании решений общего собрания акционеров каждого присоединяемого Фонда (присоединяемых Фондов), совместного общего собрания акционеров Фонда, к которому осуществляется присоединение, и присоединяемого Фонда (присоединяемых Фондов), и общего собрания акционеров Фонда, к которому осуществляется присоединение, обращаются в уполномоченный орган с ходатайством о получении разрешения на проведение реорганизации Фонда (далее – ходатайство).</w:t>
      </w:r>
    </w:p>
    <w:bookmarkEnd w:id="19"/>
    <w:bookmarkStart w:name="z26" w:id="20"/>
    <w:p>
      <w:pPr>
        <w:spacing w:after="0"/>
        <w:ind w:left="0"/>
        <w:jc w:val="both"/>
      </w:pPr>
      <w:r>
        <w:rPr>
          <w:rFonts w:ascii="Times New Roman"/>
          <w:b w:val="false"/>
          <w:i w:val="false"/>
          <w:color w:val="000000"/>
          <w:sz w:val="28"/>
        </w:rPr>
        <w:t>
      5. План реорганизации, устанавливающий предполагаемые условия, порядок и сроки реорганизации Фонда, к которому осуществляется присоединение, и присоединяемого Фонда (присоединяемых Фондов) (далее – план реорганизации), включает:</w:t>
      </w:r>
    </w:p>
    <w:bookmarkEnd w:id="20"/>
    <w:bookmarkStart w:name="z27" w:id="21"/>
    <w:p>
      <w:pPr>
        <w:spacing w:after="0"/>
        <w:ind w:left="0"/>
        <w:jc w:val="both"/>
      </w:pPr>
      <w:r>
        <w:rPr>
          <w:rFonts w:ascii="Times New Roman"/>
          <w:b w:val="false"/>
          <w:i w:val="false"/>
          <w:color w:val="000000"/>
          <w:sz w:val="28"/>
        </w:rPr>
        <w:t>
      1) основания проведения реорганизации;</w:t>
      </w:r>
    </w:p>
    <w:bookmarkEnd w:id="21"/>
    <w:bookmarkStart w:name="z28" w:id="22"/>
    <w:p>
      <w:pPr>
        <w:spacing w:after="0"/>
        <w:ind w:left="0"/>
        <w:jc w:val="both"/>
      </w:pPr>
      <w:r>
        <w:rPr>
          <w:rFonts w:ascii="Times New Roman"/>
          <w:b w:val="false"/>
          <w:i w:val="false"/>
          <w:color w:val="000000"/>
          <w:sz w:val="28"/>
        </w:rPr>
        <w:t>
      2) мероприятия по проведению реорганизации, включая описание порядка действий в отношении пенсионных активов и обязательств Фондов по договорам о пенсионном обеспечении за счет добровольных пенсионных взносов и собственных активов Фондов;</w:t>
      </w:r>
    </w:p>
    <w:bookmarkEnd w:id="22"/>
    <w:bookmarkStart w:name="z29" w:id="23"/>
    <w:p>
      <w:pPr>
        <w:spacing w:after="0"/>
        <w:ind w:left="0"/>
        <w:jc w:val="both"/>
      </w:pPr>
      <w:r>
        <w:rPr>
          <w:rFonts w:ascii="Times New Roman"/>
          <w:b w:val="false"/>
          <w:i w:val="false"/>
          <w:color w:val="000000"/>
          <w:sz w:val="28"/>
        </w:rPr>
        <w:t>
      3) сроки завершения мероприятий, связанных с реорганизацией;</w:t>
      </w:r>
    </w:p>
    <w:bookmarkEnd w:id="23"/>
    <w:bookmarkStart w:name="z30" w:id="24"/>
    <w:p>
      <w:pPr>
        <w:spacing w:after="0"/>
        <w:ind w:left="0"/>
        <w:jc w:val="both"/>
      </w:pPr>
      <w:r>
        <w:rPr>
          <w:rFonts w:ascii="Times New Roman"/>
          <w:b w:val="false"/>
          <w:i w:val="false"/>
          <w:color w:val="000000"/>
          <w:sz w:val="28"/>
        </w:rPr>
        <w:t>
      4) сведения о мерах по обеспечению выполнения обязательств по выплатам и переводам пенсионных активов и обязательств по договорам о пенсионном обеспечении за счет добровольных пенсионных взносов с учетом структуры вкладчиков (получателей) присоединяемого Фонда (присоединяемых Фондов);</w:t>
      </w:r>
    </w:p>
    <w:bookmarkEnd w:id="24"/>
    <w:bookmarkStart w:name="z31" w:id="25"/>
    <w:p>
      <w:pPr>
        <w:spacing w:after="0"/>
        <w:ind w:left="0"/>
        <w:jc w:val="both"/>
      </w:pPr>
      <w:r>
        <w:rPr>
          <w:rFonts w:ascii="Times New Roman"/>
          <w:b w:val="false"/>
          <w:i w:val="false"/>
          <w:color w:val="000000"/>
          <w:sz w:val="28"/>
        </w:rPr>
        <w:t>
      5) сведения о мерах по обеспечению выполнения пруденциальных нормативов Фондом, к которому осуществляется присоединение;</w:t>
      </w:r>
    </w:p>
    <w:bookmarkEnd w:id="25"/>
    <w:bookmarkStart w:name="z32" w:id="26"/>
    <w:p>
      <w:pPr>
        <w:spacing w:after="0"/>
        <w:ind w:left="0"/>
        <w:jc w:val="both"/>
      </w:pPr>
      <w:r>
        <w:rPr>
          <w:rFonts w:ascii="Times New Roman"/>
          <w:b w:val="false"/>
          <w:i w:val="false"/>
          <w:color w:val="000000"/>
          <w:sz w:val="28"/>
        </w:rPr>
        <w:t>
      6) сведения о мерах по обеспечению бесперебойного функционирования программно-технических средств и автоматизированной информационной системы Фонда, к которому осуществляется присоединение;</w:t>
      </w:r>
    </w:p>
    <w:bookmarkEnd w:id="26"/>
    <w:bookmarkStart w:name="z33" w:id="27"/>
    <w:p>
      <w:pPr>
        <w:spacing w:after="0"/>
        <w:ind w:left="0"/>
        <w:jc w:val="both"/>
      </w:pPr>
      <w:r>
        <w:rPr>
          <w:rFonts w:ascii="Times New Roman"/>
          <w:b w:val="false"/>
          <w:i w:val="false"/>
          <w:color w:val="000000"/>
          <w:sz w:val="28"/>
        </w:rPr>
        <w:t>
      7) иную информацию, отражающую особенности реорганизации.</w:t>
      </w:r>
    </w:p>
    <w:bookmarkEnd w:id="27"/>
    <w:bookmarkStart w:name="z34" w:id="28"/>
    <w:p>
      <w:pPr>
        <w:spacing w:after="0"/>
        <w:ind w:left="0"/>
        <w:jc w:val="both"/>
      </w:pPr>
      <w:r>
        <w:rPr>
          <w:rFonts w:ascii="Times New Roman"/>
          <w:b w:val="false"/>
          <w:i w:val="false"/>
          <w:color w:val="000000"/>
          <w:sz w:val="28"/>
        </w:rPr>
        <w:t>
      Требования, установленные подпунктами 5) и 6) настоящего пункта Правил, не распространяются на случаи реорганизации Фондов с участием государства, Фонда национального благосостояния и (или) Национального Банка Республики Казахстан.</w:t>
      </w:r>
    </w:p>
    <w:bookmarkEnd w:id="28"/>
    <w:bookmarkStart w:name="z35" w:id="29"/>
    <w:p>
      <w:pPr>
        <w:spacing w:after="0"/>
        <w:ind w:left="0"/>
        <w:jc w:val="both"/>
      </w:pPr>
      <w:r>
        <w:rPr>
          <w:rFonts w:ascii="Times New Roman"/>
          <w:b w:val="false"/>
          <w:i w:val="false"/>
          <w:color w:val="000000"/>
          <w:sz w:val="28"/>
        </w:rPr>
        <w:t>
      6. Финансовый прогноз последствий реорганизации включает в себя краткосрочный, среднесрочный и долгосрочный анализы следующих показателей Фонда, к которому осуществляется присоединение, после проведения реорганизации:</w:t>
      </w:r>
    </w:p>
    <w:bookmarkEnd w:id="29"/>
    <w:bookmarkStart w:name="z36" w:id="30"/>
    <w:p>
      <w:pPr>
        <w:spacing w:after="0"/>
        <w:ind w:left="0"/>
        <w:jc w:val="both"/>
      </w:pPr>
      <w:r>
        <w:rPr>
          <w:rFonts w:ascii="Times New Roman"/>
          <w:b w:val="false"/>
          <w:i w:val="false"/>
          <w:color w:val="000000"/>
          <w:sz w:val="28"/>
        </w:rPr>
        <w:t>
      1) анализ показателей рентабельности к собственным активам и к собственному капиталу на основе финансовых отчетов после завершения процедуры реорганизации;</w:t>
      </w:r>
    </w:p>
    <w:bookmarkEnd w:id="30"/>
    <w:bookmarkStart w:name="z37" w:id="31"/>
    <w:p>
      <w:pPr>
        <w:spacing w:after="0"/>
        <w:ind w:left="0"/>
        <w:jc w:val="both"/>
      </w:pPr>
      <w:r>
        <w:rPr>
          <w:rFonts w:ascii="Times New Roman"/>
          <w:b w:val="false"/>
          <w:i w:val="false"/>
          <w:color w:val="000000"/>
          <w:sz w:val="28"/>
        </w:rPr>
        <w:t>
      2) прогноз по размеру пенсионных активов и обязательств по договорам о пенсионном обеспечении за счет добровольных пенсионных взносов после завершения процедуры реорганизации;</w:t>
      </w:r>
    </w:p>
    <w:bookmarkEnd w:id="31"/>
    <w:bookmarkStart w:name="z38" w:id="32"/>
    <w:p>
      <w:pPr>
        <w:spacing w:after="0"/>
        <w:ind w:left="0"/>
        <w:jc w:val="both"/>
      </w:pPr>
      <w:r>
        <w:rPr>
          <w:rFonts w:ascii="Times New Roman"/>
          <w:b w:val="false"/>
          <w:i w:val="false"/>
          <w:color w:val="000000"/>
          <w:sz w:val="28"/>
        </w:rPr>
        <w:t>
      3) прогноз по структуре инвестиционного портфеля, сформированного за счет пенсионных активов, в разрезе отраслей, валют, видов финансовых инструментов, сроков до погашения после завершения процедуры реорганизации;</w:t>
      </w:r>
    </w:p>
    <w:bookmarkEnd w:id="32"/>
    <w:bookmarkStart w:name="z39" w:id="33"/>
    <w:p>
      <w:pPr>
        <w:spacing w:after="0"/>
        <w:ind w:left="0"/>
        <w:jc w:val="both"/>
      </w:pPr>
      <w:r>
        <w:rPr>
          <w:rFonts w:ascii="Times New Roman"/>
          <w:b w:val="false"/>
          <w:i w:val="false"/>
          <w:color w:val="000000"/>
          <w:sz w:val="28"/>
        </w:rPr>
        <w:t>
      4) прогноз изменения стоимости условной единицы пенсионных активов по договорам о пенсионном обеспечении за счет добровольных пенсионных взносов после завершения процедуры реорганизации.</w:t>
      </w:r>
    </w:p>
    <w:bookmarkEnd w:id="33"/>
    <w:bookmarkStart w:name="z40" w:id="34"/>
    <w:p>
      <w:pPr>
        <w:spacing w:after="0"/>
        <w:ind w:left="0"/>
        <w:jc w:val="both"/>
      </w:pPr>
      <w:r>
        <w:rPr>
          <w:rFonts w:ascii="Times New Roman"/>
          <w:b w:val="false"/>
          <w:i w:val="false"/>
          <w:color w:val="000000"/>
          <w:sz w:val="28"/>
        </w:rPr>
        <w:t>
      7. Уполномоченный орган проверяет:</w:t>
      </w:r>
    </w:p>
    <w:bookmarkEnd w:id="34"/>
    <w:bookmarkStart w:name="z41" w:id="35"/>
    <w:p>
      <w:pPr>
        <w:spacing w:after="0"/>
        <w:ind w:left="0"/>
        <w:jc w:val="both"/>
      </w:pPr>
      <w:r>
        <w:rPr>
          <w:rFonts w:ascii="Times New Roman"/>
          <w:b w:val="false"/>
          <w:i w:val="false"/>
          <w:color w:val="000000"/>
          <w:sz w:val="28"/>
        </w:rPr>
        <w:t>
      1) документы, представленные Фондом, к которому осуществляется присоединение, для получения разрешения уполномоченного органа на реорганизацию, на соответствие требованиям законодательства Республики Казахстан;</w:t>
      </w:r>
    </w:p>
    <w:bookmarkEnd w:id="35"/>
    <w:bookmarkStart w:name="z42" w:id="36"/>
    <w:p>
      <w:pPr>
        <w:spacing w:after="0"/>
        <w:ind w:left="0"/>
        <w:jc w:val="both"/>
      </w:pPr>
      <w:r>
        <w:rPr>
          <w:rFonts w:ascii="Times New Roman"/>
          <w:b w:val="false"/>
          <w:i w:val="false"/>
          <w:color w:val="000000"/>
          <w:sz w:val="28"/>
        </w:rPr>
        <w:t>
      2) наличие согласия уполномоченного органа на приобретение статуса крупного участника у лиц, которые будут соответствовать признакам крупного участника реорганизуемого Фонда в результате присоединения к нему другого (других) Фонда (Фондов);</w:t>
      </w:r>
    </w:p>
    <w:bookmarkEnd w:id="36"/>
    <w:bookmarkStart w:name="z43" w:id="37"/>
    <w:p>
      <w:pPr>
        <w:spacing w:after="0"/>
        <w:ind w:left="0"/>
        <w:jc w:val="both"/>
      </w:pPr>
      <w:r>
        <w:rPr>
          <w:rFonts w:ascii="Times New Roman"/>
          <w:b w:val="false"/>
          <w:i w:val="false"/>
          <w:color w:val="000000"/>
          <w:sz w:val="28"/>
        </w:rPr>
        <w:t>
      3) соответствие пруденциальных нормативов реорганизуемого Фонда на первую отчетную дату после завершения процедуры реорганизации;</w:t>
      </w:r>
    </w:p>
    <w:bookmarkEnd w:id="37"/>
    <w:bookmarkStart w:name="z44" w:id="38"/>
    <w:p>
      <w:pPr>
        <w:spacing w:after="0"/>
        <w:ind w:left="0"/>
        <w:jc w:val="both"/>
      </w:pPr>
      <w:r>
        <w:rPr>
          <w:rFonts w:ascii="Times New Roman"/>
          <w:b w:val="false"/>
          <w:i w:val="false"/>
          <w:color w:val="000000"/>
          <w:sz w:val="28"/>
        </w:rPr>
        <w:t>
      4) достаточность мер, предусмотренных планом реорганизации, по обеспечению непрерывного исполнения обязательств перед вкладчиками (получателями) по договорам о пенсионном обеспечении за счет добровольных пенсионных взносов;</w:t>
      </w:r>
    </w:p>
    <w:bookmarkEnd w:id="38"/>
    <w:bookmarkStart w:name="z45" w:id="39"/>
    <w:p>
      <w:pPr>
        <w:spacing w:after="0"/>
        <w:ind w:left="0"/>
        <w:jc w:val="both"/>
      </w:pPr>
      <w:r>
        <w:rPr>
          <w:rFonts w:ascii="Times New Roman"/>
          <w:b w:val="false"/>
          <w:i w:val="false"/>
          <w:color w:val="000000"/>
          <w:sz w:val="28"/>
        </w:rPr>
        <w:t>
      5) достаточность мер, предусмотренных планом реорганизации, по обеспечению бесперебойного функционирования программно-технических средств и автоматизированной информационной системы Фонда, к которому осуществляется присоединение;</w:t>
      </w:r>
    </w:p>
    <w:bookmarkEnd w:id="39"/>
    <w:bookmarkStart w:name="z46" w:id="40"/>
    <w:p>
      <w:pPr>
        <w:spacing w:after="0"/>
        <w:ind w:left="0"/>
        <w:jc w:val="both"/>
      </w:pPr>
      <w:r>
        <w:rPr>
          <w:rFonts w:ascii="Times New Roman"/>
          <w:b w:val="false"/>
          <w:i w:val="false"/>
          <w:color w:val="000000"/>
          <w:sz w:val="28"/>
        </w:rPr>
        <w:t xml:space="preserve">
      6) наличие согласия антимонопольного органа на экономическую концентрацию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201 Предпринимательского кодекса Республики Казахстан.</w:t>
      </w:r>
    </w:p>
    <w:bookmarkEnd w:id="40"/>
    <w:bookmarkStart w:name="z47" w:id="41"/>
    <w:p>
      <w:pPr>
        <w:spacing w:after="0"/>
        <w:ind w:left="0"/>
        <w:jc w:val="both"/>
      </w:pPr>
      <w:r>
        <w:rPr>
          <w:rFonts w:ascii="Times New Roman"/>
          <w:b w:val="false"/>
          <w:i w:val="false"/>
          <w:color w:val="000000"/>
          <w:sz w:val="28"/>
        </w:rPr>
        <w:t>
      Требования, установленные подпунктами 3), 4) и 5) настоящего пункта Правил, не распространяются на случаи реорганизации Фондов с участием государства, Фонда национального благосостояния и (или) Национального Банка Республики Казахстан.</w:t>
      </w:r>
    </w:p>
    <w:bookmarkEnd w:id="41"/>
    <w:bookmarkStart w:name="z48" w:id="42"/>
    <w:p>
      <w:pPr>
        <w:spacing w:after="0"/>
        <w:ind w:left="0"/>
        <w:jc w:val="left"/>
      </w:pPr>
      <w:r>
        <w:rPr>
          <w:rFonts w:ascii="Times New Roman"/>
          <w:b/>
          <w:i w:val="false"/>
          <w:color w:val="000000"/>
        </w:rPr>
        <w:t xml:space="preserve"> Глава 3. Порядок выдачи разрешения на проведение реорганизации Фонда</w:t>
      </w:r>
    </w:p>
    <w:bookmarkEnd w:id="42"/>
    <w:bookmarkStart w:name="z49" w:id="43"/>
    <w:p>
      <w:pPr>
        <w:spacing w:after="0"/>
        <w:ind w:left="0"/>
        <w:jc w:val="both"/>
      </w:pPr>
      <w:r>
        <w:rPr>
          <w:rFonts w:ascii="Times New Roman"/>
          <w:b w:val="false"/>
          <w:i w:val="false"/>
          <w:color w:val="000000"/>
          <w:sz w:val="28"/>
        </w:rPr>
        <w:t xml:space="preserve">
      8. Для получения разрешения на реорганизацию Фонд представляет в уполномоченный орган ходатайство о получении разрешения на проведение реорганизации добровольного накопительного пенсионного фонда, составленное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через веб-портал www.elicense.kz (далее – портал).</w:t>
      </w:r>
    </w:p>
    <w:bookmarkEnd w:id="43"/>
    <w:bookmarkStart w:name="z50" w:id="44"/>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"Выдача разрешения на реорганизацию добровольного накопительного пенсионного фонда" (далее – государственная услуга), оснований для отказа в оказании государственной услуги,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установлены в перечне основных требований к оказанию государственной услуги "Выдача разрешения на реорганизацию добровольного накопительного пенсионного фонда"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Перечень государственной услуги) Правил.</w:t>
      </w:r>
    </w:p>
    <w:bookmarkEnd w:id="44"/>
    <w:bookmarkStart w:name="z51" w:id="45"/>
    <w:p>
      <w:pPr>
        <w:spacing w:after="0"/>
        <w:ind w:left="0"/>
        <w:jc w:val="both"/>
      </w:pPr>
      <w:r>
        <w:rPr>
          <w:rFonts w:ascii="Times New Roman"/>
          <w:b w:val="false"/>
          <w:i w:val="false"/>
          <w:color w:val="000000"/>
          <w:sz w:val="28"/>
        </w:rPr>
        <w:t>
      При направлении Фондом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45"/>
    <w:bookmarkStart w:name="z52" w:id="46"/>
    <w:p>
      <w:pPr>
        <w:spacing w:after="0"/>
        <w:ind w:left="0"/>
        <w:jc w:val="both"/>
      </w:pPr>
      <w:r>
        <w:rPr>
          <w:rFonts w:ascii="Times New Roman"/>
          <w:b w:val="false"/>
          <w:i w:val="false"/>
          <w:color w:val="000000"/>
          <w:sz w:val="28"/>
        </w:rPr>
        <w:t>
      9.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Перечнем государственной услуги.</w:t>
      </w:r>
    </w:p>
    <w:bookmarkEnd w:id="46"/>
    <w:bookmarkStart w:name="z53" w:id="47"/>
    <w:p>
      <w:pPr>
        <w:spacing w:after="0"/>
        <w:ind w:left="0"/>
        <w:jc w:val="both"/>
      </w:pPr>
      <w:r>
        <w:rPr>
          <w:rFonts w:ascii="Times New Roman"/>
          <w:b w:val="false"/>
          <w:i w:val="false"/>
          <w:color w:val="000000"/>
          <w:sz w:val="28"/>
        </w:rPr>
        <w:t xml:space="preserve">
      10. Работник уполномоченного органа, уполномоченный на прием и регистрацию корреспонденции, в день поступления ходатайства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Фонда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ходатайства осуществляется следующим рабочим днем.</w:t>
      </w:r>
    </w:p>
    <w:bookmarkEnd w:id="47"/>
    <w:bookmarkStart w:name="z54" w:id="48"/>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со дня регистрации ходатайства проверяет полноту представленных документов.</w:t>
      </w:r>
    </w:p>
    <w:bookmarkEnd w:id="48"/>
    <w:bookmarkStart w:name="z55" w:id="49"/>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Фонду мотивированный отказ в дальнейшем рассмотрении ходатайства.</w:t>
      </w:r>
    </w:p>
    <w:bookmarkEnd w:id="49"/>
    <w:bookmarkStart w:name="z56" w:id="50"/>
    <w:p>
      <w:pPr>
        <w:spacing w:after="0"/>
        <w:ind w:left="0"/>
        <w:jc w:val="both"/>
      </w:pPr>
      <w:r>
        <w:rPr>
          <w:rFonts w:ascii="Times New Roman"/>
          <w:b w:val="false"/>
          <w:i w:val="false"/>
          <w:color w:val="000000"/>
          <w:sz w:val="28"/>
        </w:rPr>
        <w:t>
      При установлении факта полноты представленных документов, уполномоченный орган рассматривает их на предмет соответствия требованиям Правил.</w:t>
      </w:r>
    </w:p>
    <w:bookmarkEnd w:id="50"/>
    <w:bookmarkStart w:name="z57" w:id="5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Фонд о предварительном решении об отказе в оказании государственной услуги, а также времени и месте (способе) проведения заслушивания для предоставления Фонду возможности выразить позицию по предварительному решению.</w:t>
      </w:r>
    </w:p>
    <w:bookmarkEnd w:id="51"/>
    <w:bookmarkStart w:name="z58" w:id="5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2"/>
    <w:bookmarkStart w:name="z59" w:id="53"/>
    <w:p>
      <w:pPr>
        <w:spacing w:after="0"/>
        <w:ind w:left="0"/>
        <w:jc w:val="both"/>
      </w:pPr>
      <w:r>
        <w:rPr>
          <w:rFonts w:ascii="Times New Roman"/>
          <w:b w:val="false"/>
          <w:i w:val="false"/>
          <w:color w:val="000000"/>
          <w:sz w:val="28"/>
        </w:rPr>
        <w:t>
      По результатам рассмотрения документов, представленных Фондом,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реорганизацию добровольного накопительного пенсионного фонда (далее – результат оказания государственной услуги), осуществляет его регистрацию в течение 41 (сорока одного) рабочего дня.</w:t>
      </w:r>
    </w:p>
    <w:bookmarkEnd w:id="53"/>
    <w:bookmarkStart w:name="z60" w:id="54"/>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подписания направляет результат оказания государственной услуги Фонду в "личный кабинет" в форме электронного документа, удостоверенного электронной цифровой подписью уполномоченного лица уполномоченного органа.</w:t>
      </w:r>
    </w:p>
    <w:bookmarkEnd w:id="54"/>
    <w:bookmarkStart w:name="z61" w:id="55"/>
    <w:p>
      <w:pPr>
        <w:spacing w:after="0"/>
        <w:ind w:left="0"/>
        <w:jc w:val="both"/>
      </w:pPr>
      <w:r>
        <w:rPr>
          <w:rFonts w:ascii="Times New Roman"/>
          <w:b w:val="false"/>
          <w:i w:val="false"/>
          <w:color w:val="000000"/>
          <w:sz w:val="28"/>
        </w:rPr>
        <w:t>
      Решение о выдаче разрешения на реорганизацию Фонда, оформленное постановлением Правления уполномоченного органа, вступает в силу со дня его получения Фондом.</w:t>
      </w:r>
    </w:p>
    <w:bookmarkEnd w:id="55"/>
    <w:bookmarkStart w:name="z62" w:id="56"/>
    <w:p>
      <w:pPr>
        <w:spacing w:after="0"/>
        <w:ind w:left="0"/>
        <w:jc w:val="both"/>
      </w:pPr>
      <w:r>
        <w:rPr>
          <w:rFonts w:ascii="Times New Roman"/>
          <w:b w:val="false"/>
          <w:i w:val="false"/>
          <w:color w:val="000000"/>
          <w:sz w:val="28"/>
        </w:rPr>
        <w:t>
      11.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56"/>
    <w:bookmarkStart w:name="z63" w:id="57"/>
    <w:p>
      <w:pPr>
        <w:spacing w:after="0"/>
        <w:ind w:left="0"/>
        <w:jc w:val="both"/>
      </w:pPr>
      <w:r>
        <w:rPr>
          <w:rFonts w:ascii="Times New Roman"/>
          <w:b w:val="false"/>
          <w:i w:val="false"/>
          <w:color w:val="000000"/>
          <w:sz w:val="28"/>
        </w:rPr>
        <w:t>
      12.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57"/>
    <w:bookmarkStart w:name="z64" w:id="58"/>
    <w:p>
      <w:pPr>
        <w:spacing w:after="0"/>
        <w:ind w:left="0"/>
        <w:jc w:val="both"/>
      </w:pPr>
      <w:r>
        <w:rPr>
          <w:rFonts w:ascii="Times New Roman"/>
          <w:b w:val="false"/>
          <w:i w:val="false"/>
          <w:color w:val="000000"/>
          <w:sz w:val="28"/>
        </w:rPr>
        <w:t>
      Жалоба подается уполномоченному органу, должностному лицу, чье решение, действие (бездействие) обжалуются.</w:t>
      </w:r>
    </w:p>
    <w:bookmarkEnd w:id="58"/>
    <w:bookmarkStart w:name="z65" w:id="59"/>
    <w:p>
      <w:pPr>
        <w:spacing w:after="0"/>
        <w:ind w:left="0"/>
        <w:jc w:val="both"/>
      </w:pPr>
      <w:r>
        <w:rPr>
          <w:rFonts w:ascii="Times New Roman"/>
          <w:b w:val="false"/>
          <w:i w:val="false"/>
          <w:color w:val="000000"/>
          <w:sz w:val="28"/>
        </w:rPr>
        <w:t>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59"/>
    <w:bookmarkStart w:name="z66" w:id="60"/>
    <w:p>
      <w:pPr>
        <w:spacing w:after="0"/>
        <w:ind w:left="0"/>
        <w:jc w:val="both"/>
      </w:pPr>
      <w:r>
        <w:rPr>
          <w:rFonts w:ascii="Times New Roman"/>
          <w:b w:val="false"/>
          <w:i w:val="false"/>
          <w:color w:val="000000"/>
          <w:sz w:val="28"/>
        </w:rPr>
        <w:t xml:space="preserve">
      Жалоба Фонда, поступившая в адрес уполномоченного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60"/>
    <w:bookmarkStart w:name="z67" w:id="6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61"/>
    <w:bookmarkStart w:name="z68" w:id="62"/>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Социальным Кодексом</w:t>
      </w:r>
      <w:r>
        <w:rPr>
          <w:rFonts w:ascii="Times New Roman"/>
          <w:b w:val="false"/>
          <w:i w:val="false"/>
          <w:color w:val="000000"/>
          <w:sz w:val="28"/>
        </w:rPr>
        <w:t>, обращение в суд допускается после обжалования в досудебном порядке.</w:t>
      </w:r>
    </w:p>
    <w:bookmarkEnd w:id="62"/>
    <w:bookmarkStart w:name="z69" w:id="63"/>
    <w:p>
      <w:pPr>
        <w:spacing w:after="0"/>
        <w:ind w:left="0"/>
        <w:jc w:val="both"/>
      </w:pPr>
      <w:r>
        <w:rPr>
          <w:rFonts w:ascii="Times New Roman"/>
          <w:b w:val="false"/>
          <w:i w:val="false"/>
          <w:color w:val="000000"/>
          <w:sz w:val="28"/>
        </w:rPr>
        <w:t>
      13. В жалобе, направляемой руководителю уполномоченного органа, указываются:</w:t>
      </w:r>
    </w:p>
    <w:bookmarkEnd w:id="63"/>
    <w:bookmarkStart w:name="z70" w:id="64"/>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64"/>
    <w:bookmarkStart w:name="z71" w:id="65"/>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65"/>
    <w:bookmarkStart w:name="z72" w:id="66"/>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bookmarkEnd w:id="66"/>
    <w:bookmarkStart w:name="z73" w:id="6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67"/>
    <w:bookmarkStart w:name="z74" w:id="68"/>
    <w:p>
      <w:pPr>
        <w:spacing w:after="0"/>
        <w:ind w:left="0"/>
        <w:jc w:val="both"/>
      </w:pPr>
      <w:r>
        <w:rPr>
          <w:rFonts w:ascii="Times New Roman"/>
          <w:b w:val="false"/>
          <w:i w:val="false"/>
          <w:color w:val="000000"/>
          <w:sz w:val="28"/>
        </w:rPr>
        <w:t>
      При отправке жалобы через портал Фонду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68"/>
    <w:bookmarkStart w:name="z75" w:id="69"/>
    <w:p>
      <w:pPr>
        <w:spacing w:after="0"/>
        <w:ind w:left="0"/>
        <w:jc w:val="left"/>
      </w:pPr>
      <w:r>
        <w:rPr>
          <w:rFonts w:ascii="Times New Roman"/>
          <w:b/>
          <w:i w:val="false"/>
          <w:color w:val="000000"/>
        </w:rPr>
        <w:t xml:space="preserve"> Глава 4.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69"/>
    <w:bookmarkStart w:name="z76" w:id="70"/>
    <w:p>
      <w:pPr>
        <w:spacing w:after="0"/>
        <w:ind w:left="0"/>
        <w:jc w:val="both"/>
      </w:pPr>
      <w:r>
        <w:rPr>
          <w:rFonts w:ascii="Times New Roman"/>
          <w:b w:val="false"/>
          <w:i w:val="false"/>
          <w:color w:val="000000"/>
          <w:sz w:val="28"/>
        </w:rPr>
        <w:t>
      14.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в реорганизованный добровольный накопительный пенсионный фонд осуществляется в соответствии с планом мероприятий, определяющим мероприятия по передаче в Фонд, к которому осуществляется присоединение,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сроки их исполнения и ответственных лиц, а также перечень документов и информации, передаваемых присоединяемым Фондом (присоединяемыми Фондами) в Фонд, к которому осуществляется присоединение (далее – план мероприятий).</w:t>
      </w:r>
    </w:p>
    <w:bookmarkEnd w:id="70"/>
    <w:bookmarkStart w:name="z77" w:id="71"/>
    <w:p>
      <w:pPr>
        <w:spacing w:after="0"/>
        <w:ind w:left="0"/>
        <w:jc w:val="both"/>
      </w:pPr>
      <w:r>
        <w:rPr>
          <w:rFonts w:ascii="Times New Roman"/>
          <w:b w:val="false"/>
          <w:i w:val="false"/>
          <w:color w:val="000000"/>
          <w:sz w:val="28"/>
        </w:rPr>
        <w:t>
      15. В случае присоединения к Фонду нескольких Фондов:</w:t>
      </w:r>
    </w:p>
    <w:bookmarkEnd w:id="71"/>
    <w:bookmarkStart w:name="z78" w:id="72"/>
    <w:p>
      <w:pPr>
        <w:spacing w:after="0"/>
        <w:ind w:left="0"/>
        <w:jc w:val="both"/>
      </w:pPr>
      <w:r>
        <w:rPr>
          <w:rFonts w:ascii="Times New Roman"/>
          <w:b w:val="false"/>
          <w:i w:val="false"/>
          <w:color w:val="000000"/>
          <w:sz w:val="28"/>
        </w:rPr>
        <w:t>
      1) передача пенсионных активов и обязательств присоединяемых Фондов по договорам о пенсионном обеспечении за счет добровольных пенсионных взносов в Фонд, к которому осуществляется присоединение, осуществляется в соответствии с графиком, утвержденным решением первого руководителя Фонда, к которому осуществляется присоединение;</w:t>
      </w:r>
    </w:p>
    <w:bookmarkEnd w:id="72"/>
    <w:bookmarkStart w:name="z79" w:id="73"/>
    <w:p>
      <w:pPr>
        <w:spacing w:after="0"/>
        <w:ind w:left="0"/>
        <w:jc w:val="both"/>
      </w:pPr>
      <w:r>
        <w:rPr>
          <w:rFonts w:ascii="Times New Roman"/>
          <w:b w:val="false"/>
          <w:i w:val="false"/>
          <w:color w:val="000000"/>
          <w:sz w:val="28"/>
        </w:rPr>
        <w:t>
      2) план мероприятий составляется Фондом, к которому осуществляется присоединение, в отношении каждого присоединяемого Фонда в отдельности.</w:t>
      </w:r>
    </w:p>
    <w:bookmarkEnd w:id="73"/>
    <w:bookmarkStart w:name="z80" w:id="74"/>
    <w:p>
      <w:pPr>
        <w:spacing w:after="0"/>
        <w:ind w:left="0"/>
        <w:jc w:val="both"/>
      </w:pPr>
      <w:r>
        <w:rPr>
          <w:rFonts w:ascii="Times New Roman"/>
          <w:b w:val="false"/>
          <w:i w:val="false"/>
          <w:color w:val="000000"/>
          <w:sz w:val="28"/>
        </w:rPr>
        <w:t>
      16.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в Фонд, к которому осуществляется присоединение, оформляется актами приема-передачи пенсионных активов и обязательств, составленными в соответствии с пунктами 20, 26, 28 и 31 Правил.</w:t>
      </w:r>
    </w:p>
    <w:bookmarkEnd w:id="74"/>
    <w:bookmarkStart w:name="z81" w:id="75"/>
    <w:p>
      <w:pPr>
        <w:spacing w:after="0"/>
        <w:ind w:left="0"/>
        <w:jc w:val="both"/>
      </w:pPr>
      <w:r>
        <w:rPr>
          <w:rFonts w:ascii="Times New Roman"/>
          <w:b w:val="false"/>
          <w:i w:val="false"/>
          <w:color w:val="000000"/>
          <w:sz w:val="28"/>
        </w:rPr>
        <w:t>
      17. В плане мероприятий предусматривается порядок проведения (реализации) мероприятий, необходимых для обеспечения передачи присоединяемым Фондом (присоединяемыми Фондами) и принятия Фондом,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 включая мероприятия по:</w:t>
      </w:r>
    </w:p>
    <w:bookmarkEnd w:id="75"/>
    <w:bookmarkStart w:name="z82" w:id="76"/>
    <w:p>
      <w:pPr>
        <w:spacing w:after="0"/>
        <w:ind w:left="0"/>
        <w:jc w:val="both"/>
      </w:pPr>
      <w:r>
        <w:rPr>
          <w:rFonts w:ascii="Times New Roman"/>
          <w:b w:val="false"/>
          <w:i w:val="false"/>
          <w:color w:val="000000"/>
          <w:sz w:val="28"/>
        </w:rPr>
        <w:t>
      1) порядку обмена информацией между Фондами;</w:t>
      </w:r>
    </w:p>
    <w:bookmarkEnd w:id="76"/>
    <w:bookmarkStart w:name="z83" w:id="77"/>
    <w:p>
      <w:pPr>
        <w:spacing w:after="0"/>
        <w:ind w:left="0"/>
        <w:jc w:val="both"/>
      </w:pPr>
      <w:r>
        <w:rPr>
          <w:rFonts w:ascii="Times New Roman"/>
          <w:b w:val="false"/>
          <w:i w:val="false"/>
          <w:color w:val="000000"/>
          <w:sz w:val="28"/>
        </w:rPr>
        <w:t>
      2) открытию Фондом, к которому осуществляется присоединение, индивидуальных пенсионных счетов вкладчикам (получателям) добровольных пенсионных взносов присоединяемого Фонда (присоединяемых Фондов) в базе данных автоматизированной информационной системы Фонда, к которому осуществляется присоединение, и зачислению пенсионных накоплений на данные индивидуальные пенсионные счета вкладчиков (получателей);</w:t>
      </w:r>
    </w:p>
    <w:bookmarkEnd w:id="77"/>
    <w:bookmarkStart w:name="z84" w:id="78"/>
    <w:p>
      <w:pPr>
        <w:spacing w:after="0"/>
        <w:ind w:left="0"/>
        <w:jc w:val="both"/>
      </w:pPr>
      <w:r>
        <w:rPr>
          <w:rFonts w:ascii="Times New Roman"/>
          <w:b w:val="false"/>
          <w:i w:val="false"/>
          <w:color w:val="000000"/>
          <w:sz w:val="28"/>
        </w:rPr>
        <w:t>
      3) закрытию присоединяемым Фондом (присоединяемыми Фондами) индивидуальных пенсионных счетов вкладчиков (получателей) добровольных пенсионных взносов в базе данных автоматизированной информационной системы присоединяемого Фонда (присоединяемых Фондов);</w:t>
      </w:r>
    </w:p>
    <w:bookmarkEnd w:id="78"/>
    <w:bookmarkStart w:name="z85" w:id="79"/>
    <w:p>
      <w:pPr>
        <w:spacing w:after="0"/>
        <w:ind w:left="0"/>
        <w:jc w:val="both"/>
      </w:pPr>
      <w:r>
        <w:rPr>
          <w:rFonts w:ascii="Times New Roman"/>
          <w:b w:val="false"/>
          <w:i w:val="false"/>
          <w:color w:val="000000"/>
          <w:sz w:val="28"/>
        </w:rPr>
        <w:t>
      4) постановке Фондом, к которому осуществляется присоединение, на учет финансовых инструментов, входящих в состав пенсионных активов присоединяемого Фонда (присоединяемых Фондов);</w:t>
      </w:r>
    </w:p>
    <w:bookmarkEnd w:id="79"/>
    <w:bookmarkStart w:name="z86" w:id="80"/>
    <w:p>
      <w:pPr>
        <w:spacing w:after="0"/>
        <w:ind w:left="0"/>
        <w:jc w:val="both"/>
      </w:pPr>
      <w:r>
        <w:rPr>
          <w:rFonts w:ascii="Times New Roman"/>
          <w:b w:val="false"/>
          <w:i w:val="false"/>
          <w:color w:val="000000"/>
          <w:sz w:val="28"/>
        </w:rPr>
        <w:t>
      5) исполнению Фондом, к которому осуществляется присоединение, обязательств присоединяемого Фонда (присоединяемых Фондов) по заявлениям о назначении пенсионных выплат, полученным в период принятия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w:t>
      </w:r>
    </w:p>
    <w:bookmarkEnd w:id="80"/>
    <w:bookmarkStart w:name="z87" w:id="81"/>
    <w:p>
      <w:pPr>
        <w:spacing w:after="0"/>
        <w:ind w:left="0"/>
        <w:jc w:val="both"/>
      </w:pPr>
      <w:r>
        <w:rPr>
          <w:rFonts w:ascii="Times New Roman"/>
          <w:b w:val="false"/>
          <w:i w:val="false"/>
          <w:color w:val="000000"/>
          <w:sz w:val="28"/>
        </w:rPr>
        <w:t>
      6) обеспечению бесперебойного функционирования программно-технических средств и автоматизированных информационных систем Фондов в целях приема - передачи пенсионных активов и обязательств по договорам о пенсионном обеспечении за счет добровольных пенсионных взносов;</w:t>
      </w:r>
    </w:p>
    <w:bookmarkEnd w:id="81"/>
    <w:bookmarkStart w:name="z88" w:id="82"/>
    <w:p>
      <w:pPr>
        <w:spacing w:after="0"/>
        <w:ind w:left="0"/>
        <w:jc w:val="both"/>
      </w:pPr>
      <w:r>
        <w:rPr>
          <w:rFonts w:ascii="Times New Roman"/>
          <w:b w:val="false"/>
          <w:i w:val="false"/>
          <w:color w:val="000000"/>
          <w:sz w:val="28"/>
        </w:rPr>
        <w:t>
      7) передаче присоединяемым Фондом (присоединяемыми Фондами) и управляющим инвестиционным портфелем (при наличии такового) в Фонд, к которому осуществляется присоединение, документов и информации на бумажных и электронных носителях;</w:t>
      </w:r>
    </w:p>
    <w:bookmarkEnd w:id="82"/>
    <w:bookmarkStart w:name="z89" w:id="83"/>
    <w:p>
      <w:pPr>
        <w:spacing w:after="0"/>
        <w:ind w:left="0"/>
        <w:jc w:val="both"/>
      </w:pPr>
      <w:r>
        <w:rPr>
          <w:rFonts w:ascii="Times New Roman"/>
          <w:b w:val="false"/>
          <w:i w:val="false"/>
          <w:color w:val="000000"/>
          <w:sz w:val="28"/>
        </w:rPr>
        <w:t>
      8) другие мероприятия, предполагающие взаимодействие Фонда, к которому осуществляется присоединение, в процессе принятия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с присоединяемым Фондом (присоединяемыми Фондами), банком - кастодианом Фонда, к которому осуществляется присоединение, банком - кастодианом (банками-кастодианами) присоединяемого Фонда (присоединяемых Фондов), управляющими инвестиционным портфелем (при наличии таковых).</w:t>
      </w:r>
    </w:p>
    <w:bookmarkEnd w:id="83"/>
    <w:bookmarkStart w:name="z90" w:id="84"/>
    <w:p>
      <w:pPr>
        <w:spacing w:after="0"/>
        <w:ind w:left="0"/>
        <w:jc w:val="both"/>
      </w:pPr>
      <w:r>
        <w:rPr>
          <w:rFonts w:ascii="Times New Roman"/>
          <w:b w:val="false"/>
          <w:i w:val="false"/>
          <w:color w:val="000000"/>
          <w:sz w:val="28"/>
        </w:rPr>
        <w:t>
      18. Присоединяемый Фонд (присоединяемые Фонды) и его (их) управляющий инвестиционным портфелем (управляющие инвестиционными портфелями) (при наличии такового) передают, а Фонд, к которому осуществляется присоединение, и его управляющий инвестиционным портфелем (при наличии такового) принимает в сроки, установленные планом мероприятий, следующие документы и информацию:</w:t>
      </w:r>
    </w:p>
    <w:bookmarkEnd w:id="84"/>
    <w:bookmarkStart w:name="z91" w:id="85"/>
    <w:p>
      <w:pPr>
        <w:spacing w:after="0"/>
        <w:ind w:left="0"/>
        <w:jc w:val="both"/>
      </w:pPr>
      <w:r>
        <w:rPr>
          <w:rFonts w:ascii="Times New Roman"/>
          <w:b w:val="false"/>
          <w:i w:val="false"/>
          <w:color w:val="000000"/>
          <w:sz w:val="28"/>
        </w:rPr>
        <w:t>
      1) текущие и исторические данные с индивидуальных пенсионных счетов вкладчиков (получателей) добровольных пенсионных взносов, которые имеют действующие (открытые) договоры за счет добровольных пенсионных взносов, и индивидуальных пенсионных счетов получателей добровольных пенсионных взносов, в отношении которых осуществлены выплаты пенсионных накоплений и переводы пенсионных накоплений в страховые организации;</w:t>
      </w:r>
    </w:p>
    <w:bookmarkEnd w:id="85"/>
    <w:bookmarkStart w:name="z92" w:id="86"/>
    <w:p>
      <w:pPr>
        <w:spacing w:after="0"/>
        <w:ind w:left="0"/>
        <w:jc w:val="both"/>
      </w:pPr>
      <w:r>
        <w:rPr>
          <w:rFonts w:ascii="Times New Roman"/>
          <w:b w:val="false"/>
          <w:i w:val="false"/>
          <w:color w:val="000000"/>
          <w:sz w:val="28"/>
        </w:rPr>
        <w:t>
      2) оригиналы действующих договоров о пенсионном обеспечении за счет добровольных пенсионных взносов и дополнительных соглашений к ним со всеми прилагающимися документами;</w:t>
      </w:r>
    </w:p>
    <w:bookmarkEnd w:id="86"/>
    <w:bookmarkStart w:name="z93" w:id="87"/>
    <w:p>
      <w:pPr>
        <w:spacing w:after="0"/>
        <w:ind w:left="0"/>
        <w:jc w:val="both"/>
      </w:pPr>
      <w:r>
        <w:rPr>
          <w:rFonts w:ascii="Times New Roman"/>
          <w:b w:val="false"/>
          <w:i w:val="false"/>
          <w:color w:val="000000"/>
          <w:sz w:val="28"/>
        </w:rPr>
        <w:t>
      3) оригиналы документов и информацию по ранее произведенным присоединяемым Фондом (присоединяемыми Фондами) выплатам пенсионных накоплений и переводам пенсионных накоплений в страховые организации;</w:t>
      </w:r>
    </w:p>
    <w:bookmarkEnd w:id="87"/>
    <w:bookmarkStart w:name="z94" w:id="88"/>
    <w:p>
      <w:pPr>
        <w:spacing w:after="0"/>
        <w:ind w:left="0"/>
        <w:jc w:val="both"/>
      </w:pPr>
      <w:r>
        <w:rPr>
          <w:rFonts w:ascii="Times New Roman"/>
          <w:b w:val="false"/>
          <w:i w:val="false"/>
          <w:color w:val="000000"/>
          <w:sz w:val="28"/>
        </w:rPr>
        <w:t>
      4) документы по инвестиционной деятельности присоединяемого Фонда за счет добровольных пенсионных взносов, включая:</w:t>
      </w:r>
    </w:p>
    <w:bookmarkEnd w:id="88"/>
    <w:bookmarkStart w:name="z95" w:id="89"/>
    <w:p>
      <w:pPr>
        <w:spacing w:after="0"/>
        <w:ind w:left="0"/>
        <w:jc w:val="both"/>
      </w:pPr>
      <w:r>
        <w:rPr>
          <w:rFonts w:ascii="Times New Roman"/>
          <w:b w:val="false"/>
          <w:i w:val="false"/>
          <w:color w:val="000000"/>
          <w:sz w:val="28"/>
        </w:rPr>
        <w:t>
      оригиналы протоколов заседаний инвестиционного комитета;</w:t>
      </w:r>
    </w:p>
    <w:bookmarkEnd w:id="89"/>
    <w:bookmarkStart w:name="z96" w:id="90"/>
    <w:p>
      <w:pPr>
        <w:spacing w:after="0"/>
        <w:ind w:left="0"/>
        <w:jc w:val="both"/>
      </w:pPr>
      <w:r>
        <w:rPr>
          <w:rFonts w:ascii="Times New Roman"/>
          <w:b w:val="false"/>
          <w:i w:val="false"/>
          <w:color w:val="000000"/>
          <w:sz w:val="28"/>
        </w:rPr>
        <w:t>
      оригиналы рекомендаций на совершение сделок с финансовыми инструментами с приложением документов и информации, которые использовались при составлении рекомендаций;</w:t>
      </w:r>
    </w:p>
    <w:bookmarkEnd w:id="90"/>
    <w:bookmarkStart w:name="z97" w:id="91"/>
    <w:p>
      <w:pPr>
        <w:spacing w:after="0"/>
        <w:ind w:left="0"/>
        <w:jc w:val="both"/>
      </w:pPr>
      <w:r>
        <w:rPr>
          <w:rFonts w:ascii="Times New Roman"/>
          <w:b w:val="false"/>
          <w:i w:val="false"/>
          <w:color w:val="000000"/>
          <w:sz w:val="28"/>
        </w:rPr>
        <w:t>
      оригиналы заключений подразделения, осуществляющего управление рисками, по сделке с финансовыми инструментами;</w:t>
      </w:r>
    </w:p>
    <w:bookmarkEnd w:id="91"/>
    <w:bookmarkStart w:name="z98" w:id="92"/>
    <w:p>
      <w:pPr>
        <w:spacing w:after="0"/>
        <w:ind w:left="0"/>
        <w:jc w:val="both"/>
      </w:pPr>
      <w:r>
        <w:rPr>
          <w:rFonts w:ascii="Times New Roman"/>
          <w:b w:val="false"/>
          <w:i w:val="false"/>
          <w:color w:val="000000"/>
          <w:sz w:val="28"/>
        </w:rPr>
        <w:t>
      оригиналы инвестиционных решений;</w:t>
      </w:r>
    </w:p>
    <w:bookmarkEnd w:id="92"/>
    <w:bookmarkStart w:name="z99" w:id="93"/>
    <w:p>
      <w:pPr>
        <w:spacing w:after="0"/>
        <w:ind w:left="0"/>
        <w:jc w:val="both"/>
      </w:pPr>
      <w:r>
        <w:rPr>
          <w:rFonts w:ascii="Times New Roman"/>
          <w:b w:val="false"/>
          <w:i w:val="false"/>
          <w:color w:val="000000"/>
          <w:sz w:val="28"/>
        </w:rPr>
        <w:t>
      оригиналы клиентских заказов на заключение сделок с финансовыми инструментами (приказов на совершение операций по счету для учета пенсионных активов и обязательств);</w:t>
      </w:r>
    </w:p>
    <w:bookmarkEnd w:id="93"/>
    <w:bookmarkStart w:name="z100" w:id="94"/>
    <w:p>
      <w:pPr>
        <w:spacing w:after="0"/>
        <w:ind w:left="0"/>
        <w:jc w:val="both"/>
      </w:pPr>
      <w:r>
        <w:rPr>
          <w:rFonts w:ascii="Times New Roman"/>
          <w:b w:val="false"/>
          <w:i w:val="false"/>
          <w:color w:val="000000"/>
          <w:sz w:val="28"/>
        </w:rPr>
        <w:t>
      оригиналы документов, подтверждающих заключение и регистрацию сделок на организованном, неорганизованном рынке, международном (иностранном) рынке (trade ticket, trade сonfirmation, биржевое свидетельство, договор купли-продажи финансовых инструментов, отчеты организаций, осуществляющих брокерскую и (или) дилерскую деятельность на рынке ценных бумаг об исполнении (неисполнении) клиентских заказов);</w:t>
      </w:r>
    </w:p>
    <w:bookmarkEnd w:id="94"/>
    <w:bookmarkStart w:name="z101" w:id="95"/>
    <w:p>
      <w:pPr>
        <w:spacing w:after="0"/>
        <w:ind w:left="0"/>
        <w:jc w:val="both"/>
      </w:pPr>
      <w:r>
        <w:rPr>
          <w:rFonts w:ascii="Times New Roman"/>
          <w:b w:val="false"/>
          <w:i w:val="false"/>
          <w:color w:val="000000"/>
          <w:sz w:val="28"/>
        </w:rPr>
        <w:t>
      индикативные условия выпуска долговых ценных бумаг, сделки по которым были совершены на международном (иностранном) рынке (при наличии);</w:t>
      </w:r>
    </w:p>
    <w:bookmarkEnd w:id="95"/>
    <w:bookmarkStart w:name="z102" w:id="96"/>
    <w:p>
      <w:pPr>
        <w:spacing w:after="0"/>
        <w:ind w:left="0"/>
        <w:jc w:val="both"/>
      </w:pPr>
      <w:r>
        <w:rPr>
          <w:rFonts w:ascii="Times New Roman"/>
          <w:b w:val="false"/>
          <w:i w:val="false"/>
          <w:color w:val="000000"/>
          <w:sz w:val="28"/>
        </w:rPr>
        <w:t>
      оригиналы договоров банковского вклада с банками второго уровня;</w:t>
      </w:r>
    </w:p>
    <w:bookmarkEnd w:id="96"/>
    <w:bookmarkStart w:name="z103" w:id="97"/>
    <w:p>
      <w:pPr>
        <w:spacing w:after="0"/>
        <w:ind w:left="0"/>
        <w:jc w:val="both"/>
      </w:pPr>
      <w:r>
        <w:rPr>
          <w:rFonts w:ascii="Times New Roman"/>
          <w:b w:val="false"/>
          <w:i w:val="false"/>
          <w:color w:val="000000"/>
          <w:sz w:val="28"/>
        </w:rPr>
        <w:t>
      журналы принятых инвестиционных решений, заключенных и исполненных сделок за счет пенсионных активов (за пять лет, предшествующих дате начала передачи документов и информации в Фонд, к которому осуществляется присоединение);</w:t>
      </w:r>
    </w:p>
    <w:bookmarkEnd w:id="97"/>
    <w:bookmarkStart w:name="z104" w:id="98"/>
    <w:p>
      <w:pPr>
        <w:spacing w:after="0"/>
        <w:ind w:left="0"/>
        <w:jc w:val="both"/>
      </w:pPr>
      <w:r>
        <w:rPr>
          <w:rFonts w:ascii="Times New Roman"/>
          <w:b w:val="false"/>
          <w:i w:val="false"/>
          <w:color w:val="000000"/>
          <w:sz w:val="28"/>
        </w:rPr>
        <w:t>
      оборотно-сальдовые ведомости по пенсионным активам (на последнюю отчетную дату и на дату передачи документов и информации в Фонд, к которому осуществляется присоединение);</w:t>
      </w:r>
    </w:p>
    <w:bookmarkEnd w:id="98"/>
    <w:bookmarkStart w:name="z105" w:id="99"/>
    <w:p>
      <w:pPr>
        <w:spacing w:after="0"/>
        <w:ind w:left="0"/>
        <w:jc w:val="both"/>
      </w:pPr>
      <w:r>
        <w:rPr>
          <w:rFonts w:ascii="Times New Roman"/>
          <w:b w:val="false"/>
          <w:i w:val="false"/>
          <w:color w:val="000000"/>
          <w:sz w:val="28"/>
        </w:rPr>
        <w:t>
      бухгалтерский баланс по пенсионным активам (на последнюю отчетную дату и на дату начала передачи присоединяемым Фондом (присоединяемыми Фондами)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bookmarkEnd w:id="99"/>
    <w:bookmarkStart w:name="z106" w:id="100"/>
    <w:p>
      <w:pPr>
        <w:spacing w:after="0"/>
        <w:ind w:left="0"/>
        <w:jc w:val="both"/>
      </w:pPr>
      <w:r>
        <w:rPr>
          <w:rFonts w:ascii="Times New Roman"/>
          <w:b w:val="false"/>
          <w:i w:val="false"/>
          <w:color w:val="000000"/>
          <w:sz w:val="28"/>
        </w:rPr>
        <w:t>
      отчет о прибылях и убытках по пенсионным активам (на последнюю отчетную дату и на дату начала передачи присоединяемым Фондом (присоединяемыми Фондами)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bookmarkEnd w:id="100"/>
    <w:bookmarkStart w:name="z107" w:id="101"/>
    <w:p>
      <w:pPr>
        <w:spacing w:after="0"/>
        <w:ind w:left="0"/>
        <w:jc w:val="both"/>
      </w:pPr>
      <w:r>
        <w:rPr>
          <w:rFonts w:ascii="Times New Roman"/>
          <w:b w:val="false"/>
          <w:i w:val="false"/>
          <w:color w:val="000000"/>
          <w:sz w:val="28"/>
        </w:rPr>
        <w:t>
      ежемесячные отчеты по выплатам;</w:t>
      </w:r>
    </w:p>
    <w:bookmarkEnd w:id="101"/>
    <w:bookmarkStart w:name="z108" w:id="102"/>
    <w:p>
      <w:pPr>
        <w:spacing w:after="0"/>
        <w:ind w:left="0"/>
        <w:jc w:val="both"/>
      </w:pPr>
      <w:r>
        <w:rPr>
          <w:rFonts w:ascii="Times New Roman"/>
          <w:b w:val="false"/>
          <w:i w:val="false"/>
          <w:color w:val="000000"/>
          <w:sz w:val="28"/>
        </w:rPr>
        <w:t>
      ежемесячные справки о стоимости одной условной единицы пенсионных активов, находившихся в инвестиционном управлении, за весь период деятельности присоединяемого Фонда (присоединяемых Фондов);</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за весь период деятельности присоединяемого Фонда (присоединяемых Фондов) и на дату начала передачи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bookmarkStart w:name="z110" w:id="103"/>
    <w:p>
      <w:pPr>
        <w:spacing w:after="0"/>
        <w:ind w:left="0"/>
        <w:jc w:val="both"/>
      </w:pPr>
      <w:r>
        <w:rPr>
          <w:rFonts w:ascii="Times New Roman"/>
          <w:b w:val="false"/>
          <w:i w:val="false"/>
          <w:color w:val="000000"/>
          <w:sz w:val="28"/>
        </w:rPr>
        <w:t>
      оригиналы актов сверок с банком - кастодианом, включая акты сверок по комиссионному вознаграждению, структуре инвестиционного портфеля пенсионных активов, движению денег по пенсионным активам и обязательствам;</w:t>
      </w:r>
    </w:p>
    <w:bookmarkEnd w:id="103"/>
    <w:bookmarkStart w:name="z111" w:id="104"/>
    <w:p>
      <w:pPr>
        <w:spacing w:after="0"/>
        <w:ind w:left="0"/>
        <w:jc w:val="both"/>
      </w:pPr>
      <w:r>
        <w:rPr>
          <w:rFonts w:ascii="Times New Roman"/>
          <w:b w:val="false"/>
          <w:i w:val="false"/>
          <w:color w:val="000000"/>
          <w:sz w:val="28"/>
        </w:rPr>
        <w:t>
      оригиналы документов по взысканию задолженности у эмитентов по финансовым инструментам, приобретенным за счет добровольных пенсионных взносов (судебные акты, документы по исполнительному производству);</w:t>
      </w:r>
    </w:p>
    <w:bookmarkEnd w:id="104"/>
    <w:bookmarkStart w:name="z112" w:id="105"/>
    <w:p>
      <w:pPr>
        <w:spacing w:after="0"/>
        <w:ind w:left="0"/>
        <w:jc w:val="both"/>
      </w:pPr>
      <w:r>
        <w:rPr>
          <w:rFonts w:ascii="Times New Roman"/>
          <w:b w:val="false"/>
          <w:i w:val="false"/>
          <w:color w:val="000000"/>
          <w:sz w:val="28"/>
        </w:rPr>
        <w:t>
      5) иные документы и информацию согласно перечню, определенному в плане мероприятий.</w:t>
      </w:r>
    </w:p>
    <w:bookmarkEnd w:id="105"/>
    <w:bookmarkStart w:name="z113" w:id="106"/>
    <w:p>
      <w:pPr>
        <w:spacing w:after="0"/>
        <w:ind w:left="0"/>
        <w:jc w:val="both"/>
      </w:pPr>
      <w:r>
        <w:rPr>
          <w:rFonts w:ascii="Times New Roman"/>
          <w:b w:val="false"/>
          <w:i w:val="false"/>
          <w:color w:val="000000"/>
          <w:sz w:val="28"/>
        </w:rPr>
        <w:t>
      19. Информация, указанная в подпункте 1) и абзаце десятом подпункта 4) пункта 18 Правил, представляется на электронных носителях.</w:t>
      </w:r>
    </w:p>
    <w:bookmarkEnd w:id="106"/>
    <w:bookmarkStart w:name="z114" w:id="107"/>
    <w:p>
      <w:pPr>
        <w:spacing w:after="0"/>
        <w:ind w:left="0"/>
        <w:jc w:val="both"/>
      </w:pPr>
      <w:r>
        <w:rPr>
          <w:rFonts w:ascii="Times New Roman"/>
          <w:b w:val="false"/>
          <w:i w:val="false"/>
          <w:color w:val="000000"/>
          <w:sz w:val="28"/>
        </w:rPr>
        <w:t>
      Документы, указанные в подпунктах 2), 3) и 4) (за исключением абзаца десятого) и 5) пункта 18 Правил:</w:t>
      </w:r>
    </w:p>
    <w:bookmarkEnd w:id="107"/>
    <w:bookmarkStart w:name="z115" w:id="108"/>
    <w:p>
      <w:pPr>
        <w:spacing w:after="0"/>
        <w:ind w:left="0"/>
        <w:jc w:val="both"/>
      </w:pPr>
      <w:r>
        <w:rPr>
          <w:rFonts w:ascii="Times New Roman"/>
          <w:b w:val="false"/>
          <w:i w:val="false"/>
          <w:color w:val="000000"/>
          <w:sz w:val="28"/>
        </w:rPr>
        <w:t>
      представляются на бумажном носителе;</w:t>
      </w:r>
    </w:p>
    <w:bookmarkEnd w:id="108"/>
    <w:bookmarkStart w:name="z116" w:id="109"/>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180 листов и включает в себя внутреннюю опись, которая составляется в двух экземплярах на бумажном носителе (с предоставлением Фонду, к которому осуществляется присоединение, электронного варианта), подписывается составителем с указанием его должности и даты подписания.</w:t>
      </w:r>
    </w:p>
    <w:bookmarkEnd w:id="109"/>
    <w:bookmarkStart w:name="z117" w:id="110"/>
    <w:p>
      <w:pPr>
        <w:spacing w:after="0"/>
        <w:ind w:left="0"/>
        <w:jc w:val="both"/>
      </w:pPr>
      <w:r>
        <w:rPr>
          <w:rFonts w:ascii="Times New Roman"/>
          <w:b w:val="false"/>
          <w:i w:val="false"/>
          <w:color w:val="000000"/>
          <w:sz w:val="28"/>
        </w:rPr>
        <w:t>
      Документы временного срока хранения в соответствии с подпунктом 4) пункта 18 Правил формируются в том же порядке, но без предоставления внутренней описи.</w:t>
      </w:r>
    </w:p>
    <w:bookmarkEnd w:id="110"/>
    <w:bookmarkStart w:name="z118" w:id="111"/>
    <w:p>
      <w:pPr>
        <w:spacing w:after="0"/>
        <w:ind w:left="0"/>
        <w:jc w:val="both"/>
      </w:pPr>
      <w:r>
        <w:rPr>
          <w:rFonts w:ascii="Times New Roman"/>
          <w:b w:val="false"/>
          <w:i w:val="false"/>
          <w:color w:val="000000"/>
          <w:sz w:val="28"/>
        </w:rPr>
        <w:t>
      20. Передача присоединяемым Фондом (присоединяемыми Фондами) и его управляющим инвестиционным портфелем (при наличии такового) (управляющими инвестиционными портфелями) (при наличии таковых) в Фонд, к которому осуществляется присоединение, и его управляющему инвестиционным портфелем (при наличии такового) документов и информации на электронном и бумажном носителях, предусмотренных пунктом 18 Правил, оформляется актами приема-передачи документов, подписанными первыми руководителями Фондов, управляющими инвестиционным портфелем (при наличии таковых) или лицами, их замещающими.</w:t>
      </w:r>
    </w:p>
    <w:bookmarkEnd w:id="111"/>
    <w:bookmarkStart w:name="z119" w:id="112"/>
    <w:p>
      <w:pPr>
        <w:spacing w:after="0"/>
        <w:ind w:left="0"/>
        <w:jc w:val="both"/>
      </w:pPr>
      <w:r>
        <w:rPr>
          <w:rFonts w:ascii="Times New Roman"/>
          <w:b w:val="false"/>
          <w:i w:val="false"/>
          <w:color w:val="000000"/>
          <w:sz w:val="28"/>
        </w:rPr>
        <w:t>
      В актах приема-передачи документов указываются перечень наименований дел, год дела и количество листов по каждому из них.</w:t>
      </w:r>
    </w:p>
    <w:bookmarkEnd w:id="112"/>
    <w:bookmarkStart w:name="z120" w:id="113"/>
    <w:p>
      <w:pPr>
        <w:spacing w:after="0"/>
        <w:ind w:left="0"/>
        <w:jc w:val="both"/>
      </w:pPr>
      <w:r>
        <w:rPr>
          <w:rFonts w:ascii="Times New Roman"/>
          <w:b w:val="false"/>
          <w:i w:val="false"/>
          <w:color w:val="000000"/>
          <w:sz w:val="28"/>
        </w:rPr>
        <w:t>
      21. Присоединяемый Фонд (присоединяемые Фонды) в день начала передачи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 формирует и направляет в Фонд, к которому осуществляется присоединение, в электронном формате:</w:t>
      </w:r>
    </w:p>
    <w:bookmarkEnd w:id="113"/>
    <w:bookmarkStart w:name="z121" w:id="114"/>
    <w:p>
      <w:pPr>
        <w:spacing w:after="0"/>
        <w:ind w:left="0"/>
        <w:jc w:val="both"/>
      </w:pPr>
      <w:r>
        <w:rPr>
          <w:rFonts w:ascii="Times New Roman"/>
          <w:b w:val="false"/>
          <w:i w:val="false"/>
          <w:color w:val="000000"/>
          <w:sz w:val="28"/>
        </w:rPr>
        <w:t>
      1) список вкладчиков (получателей) добровольных пенсионных взносов, заключивших договор о пенсионном обеспечении за счет добровольных пенсионных взносов;</w:t>
      </w:r>
    </w:p>
    <w:bookmarkEnd w:id="114"/>
    <w:bookmarkStart w:name="z122" w:id="115"/>
    <w:p>
      <w:pPr>
        <w:spacing w:after="0"/>
        <w:ind w:left="0"/>
        <w:jc w:val="both"/>
      </w:pPr>
      <w:r>
        <w:rPr>
          <w:rFonts w:ascii="Times New Roman"/>
          <w:b w:val="false"/>
          <w:i w:val="false"/>
          <w:color w:val="000000"/>
          <w:sz w:val="28"/>
        </w:rPr>
        <w:t>
      2) список вкладчиков (получателей) добровольных пенсионных взносов, суммы пенсионных накоплений которых числятся на счете "прочие суммы до выяснения";</w:t>
      </w:r>
    </w:p>
    <w:bookmarkEnd w:id="115"/>
    <w:bookmarkStart w:name="z123" w:id="116"/>
    <w:p>
      <w:pPr>
        <w:spacing w:after="0"/>
        <w:ind w:left="0"/>
        <w:jc w:val="both"/>
      </w:pPr>
      <w:r>
        <w:rPr>
          <w:rFonts w:ascii="Times New Roman"/>
          <w:b w:val="false"/>
          <w:i w:val="false"/>
          <w:color w:val="000000"/>
          <w:sz w:val="28"/>
        </w:rPr>
        <w:t>
      3) список исполненных заявлений вкладчиков (получателей) добровольных пенсионных взносов на выплаты пенсионных накоплений за счет добровольных пенсионных взносов, в связи с переводом пенсионных накоплений в страховую организацию на основании заключенного с ней договора пенсионного аннуитета по действующим и прекращенным договорам о пенсионном обеспечении за счет добровольных пенсионных взносов;</w:t>
      </w:r>
    </w:p>
    <w:bookmarkEnd w:id="116"/>
    <w:bookmarkStart w:name="z124" w:id="117"/>
    <w:p>
      <w:pPr>
        <w:spacing w:after="0"/>
        <w:ind w:left="0"/>
        <w:jc w:val="both"/>
      </w:pPr>
      <w:r>
        <w:rPr>
          <w:rFonts w:ascii="Times New Roman"/>
          <w:b w:val="false"/>
          <w:i w:val="false"/>
          <w:color w:val="000000"/>
          <w:sz w:val="28"/>
        </w:rPr>
        <w:t>
      4) список исполненных заявлений вкладчиков (получателей) добровольных пенсионных взносов на выплату пенсионных накоплений за счет добровольных пенсионных взносов по действующим и прекращенным договорам о пенсионном обеспечении за счет добровольных пенсионных взносов;</w:t>
      </w:r>
    </w:p>
    <w:bookmarkEnd w:id="117"/>
    <w:bookmarkStart w:name="z125" w:id="118"/>
    <w:p>
      <w:pPr>
        <w:spacing w:after="0"/>
        <w:ind w:left="0"/>
        <w:jc w:val="both"/>
      </w:pPr>
      <w:r>
        <w:rPr>
          <w:rFonts w:ascii="Times New Roman"/>
          <w:b w:val="false"/>
          <w:i w:val="false"/>
          <w:color w:val="000000"/>
          <w:sz w:val="28"/>
        </w:rPr>
        <w:t>
      5) список вкладчиков (получателей) добровольных пенсионных взносов, по прекращенным договорам о пенсионном обеспечении за счет добровольных пенсионных взносов;</w:t>
      </w:r>
    </w:p>
    <w:bookmarkEnd w:id="118"/>
    <w:bookmarkStart w:name="z126" w:id="119"/>
    <w:p>
      <w:pPr>
        <w:spacing w:after="0"/>
        <w:ind w:left="0"/>
        <w:jc w:val="both"/>
      </w:pPr>
      <w:r>
        <w:rPr>
          <w:rFonts w:ascii="Times New Roman"/>
          <w:b w:val="false"/>
          <w:i w:val="false"/>
          <w:color w:val="000000"/>
          <w:sz w:val="28"/>
        </w:rPr>
        <w:t>
      6) список вкладчиков (получателей) добровольных пенсионных взносов, суммы пенсионных накоплений которых числятся на счете "прочие суммы до выяснения", по которым кредиторская задолженность была погашена;</w:t>
      </w:r>
    </w:p>
    <w:bookmarkEnd w:id="119"/>
    <w:bookmarkStart w:name="z127" w:id="120"/>
    <w:p>
      <w:pPr>
        <w:spacing w:after="0"/>
        <w:ind w:left="0"/>
        <w:jc w:val="both"/>
      </w:pPr>
      <w:r>
        <w:rPr>
          <w:rFonts w:ascii="Times New Roman"/>
          <w:b w:val="false"/>
          <w:i w:val="false"/>
          <w:color w:val="000000"/>
          <w:sz w:val="28"/>
        </w:rPr>
        <w:t>
      7) информация об операциях по индивидуальным пенсионным счетам вкладчиков (получателей) по добровольным пенсионным взносам об изменении реквизитов вкладчиков (получателей), об объединениях индивидуальных пенсионных счетов вкладчиков (получателей), осуществленных за весь период деятельности присоединяемого Фонда.</w:t>
      </w:r>
    </w:p>
    <w:bookmarkEnd w:id="120"/>
    <w:bookmarkStart w:name="z128" w:id="121"/>
    <w:p>
      <w:pPr>
        <w:spacing w:after="0"/>
        <w:ind w:left="0"/>
        <w:jc w:val="both"/>
      </w:pPr>
      <w:r>
        <w:rPr>
          <w:rFonts w:ascii="Times New Roman"/>
          <w:b w:val="false"/>
          <w:i w:val="false"/>
          <w:color w:val="000000"/>
          <w:sz w:val="28"/>
        </w:rPr>
        <w:t>
      22. Фонд, к которому осуществляется присоединение, в день получения от присоединяемого Фонда (присоединяемых Фондов) информации, указанной в пункте 21 Правил:</w:t>
      </w:r>
    </w:p>
    <w:bookmarkEnd w:id="121"/>
    <w:bookmarkStart w:name="z129" w:id="122"/>
    <w:p>
      <w:pPr>
        <w:spacing w:after="0"/>
        <w:ind w:left="0"/>
        <w:jc w:val="both"/>
      </w:pPr>
      <w:r>
        <w:rPr>
          <w:rFonts w:ascii="Times New Roman"/>
          <w:b w:val="false"/>
          <w:i w:val="false"/>
          <w:color w:val="000000"/>
          <w:sz w:val="28"/>
        </w:rPr>
        <w:t>
      1) открывает в базе данных автоматизированной информационной системы индивидуальные пенсионные счета вкладчикам (получателям) добровольных пенсионных взносов, указанным в подпунктах 1) и 2) пункта 21 Правил;</w:t>
      </w:r>
    </w:p>
    <w:bookmarkEnd w:id="122"/>
    <w:bookmarkStart w:name="z130" w:id="123"/>
    <w:p>
      <w:pPr>
        <w:spacing w:after="0"/>
        <w:ind w:left="0"/>
        <w:jc w:val="both"/>
      </w:pPr>
      <w:r>
        <w:rPr>
          <w:rFonts w:ascii="Times New Roman"/>
          <w:b w:val="false"/>
          <w:i w:val="false"/>
          <w:color w:val="000000"/>
          <w:sz w:val="28"/>
        </w:rPr>
        <w:t>
      2) направляет в присоединяемый Фонд (присоединяемые Фонды) информацию об открытии индивидуальных пенсионных счетов вкладчикам (получателям) добровольных пенсионных взносов, указанным в подпунктах 1) и 2) пункта 21 Правил.</w:t>
      </w:r>
    </w:p>
    <w:bookmarkEnd w:id="123"/>
    <w:bookmarkStart w:name="z131" w:id="124"/>
    <w:p>
      <w:pPr>
        <w:spacing w:after="0"/>
        <w:ind w:left="0"/>
        <w:jc w:val="both"/>
      </w:pPr>
      <w:r>
        <w:rPr>
          <w:rFonts w:ascii="Times New Roman"/>
          <w:b w:val="false"/>
          <w:i w:val="false"/>
          <w:color w:val="000000"/>
          <w:sz w:val="28"/>
        </w:rPr>
        <w:t>
      23. Если в Фонде, к которому осуществляется присоединение, у вкладчика (получателя) имеется ранее открытый индивидуальный пенсионный счет для учета добровольных пенсионных взносов, то Фонд, к которому осуществляется присоединение, не осуществляет открытие нового индивидуального пенсионного счета, зачисление пенсионных накоплений вкладчика (получателя) осуществляется на ранее открытый индивидуальный пенсионный счет для учета добровольных пенсионных взносов в Фонде, к которому осуществляется присоединение.</w:t>
      </w:r>
    </w:p>
    <w:bookmarkEnd w:id="124"/>
    <w:bookmarkStart w:name="z132" w:id="125"/>
    <w:p>
      <w:pPr>
        <w:spacing w:after="0"/>
        <w:ind w:left="0"/>
        <w:jc w:val="both"/>
      </w:pPr>
      <w:r>
        <w:rPr>
          <w:rFonts w:ascii="Times New Roman"/>
          <w:b w:val="false"/>
          <w:i w:val="false"/>
          <w:color w:val="000000"/>
          <w:sz w:val="28"/>
        </w:rPr>
        <w:t>
      24. Присоединяемый Фонд (присоединяемые Фонды) на основании информации, представленной Фондом, к которому осуществляется присоединение, в базе данных автоматизированной информационной системы осуществляет закрытие индивидуальных пенсионных счетов вкладчиков (получателей), указанных в подпунктах 1) и 2) пункта 21 Правил.</w:t>
      </w:r>
    </w:p>
    <w:bookmarkEnd w:id="125"/>
    <w:bookmarkStart w:name="z133" w:id="126"/>
    <w:p>
      <w:pPr>
        <w:spacing w:after="0"/>
        <w:ind w:left="0"/>
        <w:jc w:val="both"/>
      </w:pPr>
      <w:r>
        <w:rPr>
          <w:rFonts w:ascii="Times New Roman"/>
          <w:b w:val="false"/>
          <w:i w:val="false"/>
          <w:color w:val="000000"/>
          <w:sz w:val="28"/>
        </w:rPr>
        <w:t>
      25. Списки, указанные в пункте 21 Правил, сохраняются присоединяемым Фондом (присоединяемыми Фондами) на электронном носителе и проверяются Фондом, к которому осуществляется присоединение.</w:t>
      </w:r>
    </w:p>
    <w:bookmarkEnd w:id="126"/>
    <w:bookmarkStart w:name="z134" w:id="127"/>
    <w:p>
      <w:pPr>
        <w:spacing w:after="0"/>
        <w:ind w:left="0"/>
        <w:jc w:val="both"/>
      </w:pPr>
      <w:r>
        <w:rPr>
          <w:rFonts w:ascii="Times New Roman"/>
          <w:b w:val="false"/>
          <w:i w:val="false"/>
          <w:color w:val="000000"/>
          <w:sz w:val="28"/>
        </w:rPr>
        <w:t>
      После проверки представители Фонда, к которому осуществляется присоединение, в присутствии представителей присоединяемого Фонда делают дополнительную копию списков, указанных в пункте 21 Правил, на электронных носителях, которые опечатываются, опломбируются и передаются по акту приема-передачи.</w:t>
      </w:r>
    </w:p>
    <w:bookmarkEnd w:id="127"/>
    <w:bookmarkStart w:name="z135" w:id="128"/>
    <w:p>
      <w:pPr>
        <w:spacing w:after="0"/>
        <w:ind w:left="0"/>
        <w:jc w:val="both"/>
      </w:pPr>
      <w:r>
        <w:rPr>
          <w:rFonts w:ascii="Times New Roman"/>
          <w:b w:val="false"/>
          <w:i w:val="false"/>
          <w:color w:val="000000"/>
          <w:sz w:val="28"/>
        </w:rPr>
        <w:t>
      Два экземпляра опечатанных и опломбированных электронных носителей передаются в Фонд, к которому осуществляется присоединение, один экземпляр опечатанных и опломбированных электронных носителей для работы, второй экземпляр хранится в качестве резервной копии на постоянной основе.</w:t>
      </w:r>
    </w:p>
    <w:bookmarkEnd w:id="128"/>
    <w:bookmarkStart w:name="z136" w:id="129"/>
    <w:p>
      <w:pPr>
        <w:spacing w:after="0"/>
        <w:ind w:left="0"/>
        <w:jc w:val="both"/>
      </w:pPr>
      <w:r>
        <w:rPr>
          <w:rFonts w:ascii="Times New Roman"/>
          <w:b w:val="false"/>
          <w:i w:val="false"/>
          <w:color w:val="000000"/>
          <w:sz w:val="28"/>
        </w:rPr>
        <w:t>
      26. Передача присоединяемым Фондом (присоединяемыми Фондами) в Фонд, к которому осуществляется присоединение, информации, предусмотренной пунктом 21 Правил, оформляется актом приема - передачи, подписанным первыми руководителями Фонда, к которому осуществляется присоединение, и присоединяемого Фонда (присоединяемых Фондов) или лицами, их замещающими.</w:t>
      </w:r>
    </w:p>
    <w:bookmarkEnd w:id="129"/>
    <w:bookmarkStart w:name="z137" w:id="130"/>
    <w:p>
      <w:pPr>
        <w:spacing w:after="0"/>
        <w:ind w:left="0"/>
        <w:jc w:val="both"/>
      </w:pPr>
      <w:r>
        <w:rPr>
          <w:rFonts w:ascii="Times New Roman"/>
          <w:b w:val="false"/>
          <w:i w:val="false"/>
          <w:color w:val="000000"/>
          <w:sz w:val="28"/>
        </w:rPr>
        <w:t>
      27. Информация о финансовых инструментах, составляющих инвестиционный портфель присоединяемого Фонда (присоединяемых Фондов), сформированный за счет добровольных пенсионных взносов, передается в Фонд, к которому осуществляется присоединение, и в банк-кастодиан Фонда, к которому осуществляется присоединение, в электронном виде в соответствии с форматом, разработанным Фондом, к которому осуществляется присоединение.</w:t>
      </w:r>
    </w:p>
    <w:bookmarkEnd w:id="130"/>
    <w:bookmarkStart w:name="z138" w:id="131"/>
    <w:p>
      <w:pPr>
        <w:spacing w:after="0"/>
        <w:ind w:left="0"/>
        <w:jc w:val="both"/>
      </w:pPr>
      <w:r>
        <w:rPr>
          <w:rFonts w:ascii="Times New Roman"/>
          <w:b w:val="false"/>
          <w:i w:val="false"/>
          <w:color w:val="000000"/>
          <w:sz w:val="28"/>
        </w:rPr>
        <w:t>
      28. Передача информации, предусмотренной пунктом 27 Правил, оформляется актом приема-передачи, подписываемым первыми руководителями Фонда, к которому осуществляется присоединение, присоединяемого Фонда (присоединяемых Фондов), банка-кастодиана Фонда, к которому осуществляется присоединение, банка-кастодиана присоединяемого Фонда (присоединяемых Фондов), управляющих инвестиционным портфелем (при наличии таковых) или лицами, их замещающими.</w:t>
      </w:r>
    </w:p>
    <w:bookmarkEnd w:id="131"/>
    <w:bookmarkStart w:name="z139" w:id="132"/>
    <w:p>
      <w:pPr>
        <w:spacing w:after="0"/>
        <w:ind w:left="0"/>
        <w:jc w:val="both"/>
      </w:pPr>
      <w:r>
        <w:rPr>
          <w:rFonts w:ascii="Times New Roman"/>
          <w:b w:val="false"/>
          <w:i w:val="false"/>
          <w:color w:val="000000"/>
          <w:sz w:val="28"/>
        </w:rPr>
        <w:t>
      29. Акт приема-передачи информации, предусмотренной пунктом 27 Правил, содержит следующие сведения:</w:t>
      </w:r>
    </w:p>
    <w:bookmarkEnd w:id="132"/>
    <w:bookmarkStart w:name="z140" w:id="133"/>
    <w:p>
      <w:pPr>
        <w:spacing w:after="0"/>
        <w:ind w:left="0"/>
        <w:jc w:val="both"/>
      </w:pPr>
      <w:r>
        <w:rPr>
          <w:rFonts w:ascii="Times New Roman"/>
          <w:b w:val="false"/>
          <w:i w:val="false"/>
          <w:color w:val="000000"/>
          <w:sz w:val="28"/>
        </w:rPr>
        <w:t>
      1) общую сумму пенсионных активов на день передачи, в том числе:</w:t>
      </w:r>
    </w:p>
    <w:bookmarkEnd w:id="133"/>
    <w:bookmarkStart w:name="z141" w:id="134"/>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bookmarkEnd w:id="134"/>
    <w:bookmarkStart w:name="z142" w:id="135"/>
    <w:p>
      <w:pPr>
        <w:spacing w:after="0"/>
        <w:ind w:left="0"/>
        <w:jc w:val="both"/>
      </w:pPr>
      <w:r>
        <w:rPr>
          <w:rFonts w:ascii="Times New Roman"/>
          <w:b w:val="false"/>
          <w:i w:val="false"/>
          <w:color w:val="000000"/>
          <w:sz w:val="28"/>
        </w:rPr>
        <w:t>
      суммарную стоимость передаваемых ценных бумаг с указанием международного идентификационного номера (код ISIN),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bookmarkEnd w:id="135"/>
    <w:bookmarkStart w:name="z143" w:id="136"/>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bookmarkEnd w:id="136"/>
    <w:bookmarkStart w:name="z144" w:id="137"/>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bookmarkEnd w:id="137"/>
    <w:bookmarkStart w:name="z145" w:id="138"/>
    <w:p>
      <w:pPr>
        <w:spacing w:after="0"/>
        <w:ind w:left="0"/>
        <w:jc w:val="both"/>
      </w:pPr>
      <w:r>
        <w:rPr>
          <w:rFonts w:ascii="Times New Roman"/>
          <w:b w:val="false"/>
          <w:i w:val="false"/>
          <w:color w:val="000000"/>
          <w:sz w:val="28"/>
        </w:rPr>
        <w:t>
      2) суммы требований вкладчиков (получателей) по пенсионным активам и обязательствам, в том числе ошибочно зачисленные суммы;</w:t>
      </w:r>
    </w:p>
    <w:bookmarkEnd w:id="138"/>
    <w:bookmarkStart w:name="z146" w:id="139"/>
    <w:p>
      <w:pPr>
        <w:spacing w:after="0"/>
        <w:ind w:left="0"/>
        <w:jc w:val="both"/>
      </w:pPr>
      <w:r>
        <w:rPr>
          <w:rFonts w:ascii="Times New Roman"/>
          <w:b w:val="false"/>
          <w:i w:val="false"/>
          <w:color w:val="000000"/>
          <w:sz w:val="28"/>
        </w:rPr>
        <w:t>
      3) расчет стоимости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 за счет добровольных пенсионных взносов.</w:t>
      </w:r>
    </w:p>
    <w:bookmarkEnd w:id="139"/>
    <w:bookmarkStart w:name="z147" w:id="140"/>
    <w:p>
      <w:pPr>
        <w:spacing w:after="0"/>
        <w:ind w:left="0"/>
        <w:jc w:val="both"/>
      </w:pPr>
      <w:r>
        <w:rPr>
          <w:rFonts w:ascii="Times New Roman"/>
          <w:b w:val="false"/>
          <w:i w:val="false"/>
          <w:color w:val="000000"/>
          <w:sz w:val="28"/>
        </w:rPr>
        <w:t>
      30. Операции по списанию ценных бумаг с субсчета присоединяемого Фонда (присоединяемых Фондов), открытого в рамках лицевого счета банка-кастодиана в системе учета центрального депозитария, и их зачислению на субсчет Фонда, к которому осуществляется присоединение, открытый в рамках лицевого счета банка-кастодиана Фонда, к которому осуществляется присоединение, в системе учета центрального депозитария, проводятся центральным депозитарием на основании двух встречных приказов банка-кастодиана (банков-кастодианов) присоединяемого Фонда (присоединяемых Фондов) и банка-кастодиана Фонда, к которому осуществляется присоединение.</w:t>
      </w:r>
    </w:p>
    <w:bookmarkEnd w:id="140"/>
    <w:bookmarkStart w:name="z148" w:id="141"/>
    <w:p>
      <w:pPr>
        <w:spacing w:after="0"/>
        <w:ind w:left="0"/>
        <w:jc w:val="both"/>
      </w:pPr>
      <w:r>
        <w:rPr>
          <w:rFonts w:ascii="Times New Roman"/>
          <w:b w:val="false"/>
          <w:i w:val="false"/>
          <w:color w:val="000000"/>
          <w:sz w:val="28"/>
        </w:rPr>
        <w:t>
      Форма приказа на регистрацию перевода финансовых инструментов устанавливается сводом правил центрального депозитария.</w:t>
      </w:r>
    </w:p>
    <w:bookmarkEnd w:id="141"/>
    <w:bookmarkStart w:name="z149" w:id="142"/>
    <w:p>
      <w:pPr>
        <w:spacing w:after="0"/>
        <w:ind w:left="0"/>
        <w:jc w:val="both"/>
      </w:pPr>
      <w:r>
        <w:rPr>
          <w:rFonts w:ascii="Times New Roman"/>
          <w:b w:val="false"/>
          <w:i w:val="false"/>
          <w:color w:val="000000"/>
          <w:sz w:val="28"/>
        </w:rPr>
        <w:t>
      31. После регистрации операций по списанию ценных бумаг с субсчета присоединяемого Фонда (присоединяемых Фондов), открытого в рамках лицевого счета банка-кастодиана в системе учета центрального депозитария, и их зачислению на субсчет Фонда, к которому осуществляется присоединение, открытый в рамках лицевого счета банка-кастодиана Фонда, к которому осуществляется присоединение, в системе учета центрального депозитария, центральным депозитарием (по финансовым инструментам, учитываемым в системе учета центрального депозитария), банками-кастодианами присоединяемого Фонда (присоединяемых Фондов) и Фонда, к которому осуществляется присоединение, осуществляется сверка остатков ценных бумаг, находящихся на субсчете Фонда, к которому осуществляется присоединение, с остатками ценных бумаг, которые были списаны с субсчета присоединяемого Фонда.</w:t>
      </w:r>
    </w:p>
    <w:bookmarkEnd w:id="142"/>
    <w:bookmarkStart w:name="z150" w:id="143"/>
    <w:p>
      <w:pPr>
        <w:spacing w:after="0"/>
        <w:ind w:left="0"/>
        <w:jc w:val="both"/>
      </w:pPr>
      <w:r>
        <w:rPr>
          <w:rFonts w:ascii="Times New Roman"/>
          <w:b w:val="false"/>
          <w:i w:val="false"/>
          <w:color w:val="000000"/>
          <w:sz w:val="28"/>
        </w:rPr>
        <w:t>
      Сверка оформляется актом приема-передачи, подписываемым уполномоченными представителями сторон, участвующих в сверке.</w:t>
      </w:r>
    </w:p>
    <w:bookmarkEnd w:id="143"/>
    <w:bookmarkStart w:name="z151" w:id="144"/>
    <w:p>
      <w:pPr>
        <w:spacing w:after="0"/>
        <w:ind w:left="0"/>
        <w:jc w:val="both"/>
      </w:pPr>
      <w:r>
        <w:rPr>
          <w:rFonts w:ascii="Times New Roman"/>
          <w:b w:val="false"/>
          <w:i w:val="false"/>
          <w:color w:val="000000"/>
          <w:sz w:val="28"/>
        </w:rPr>
        <w:t>
      32. Расходы, связанные с передачей пенсионных активов и обязательств по добровольным пенсионным взносам, осуществляются за счет собственных средств присоединяемого Фонда (присоединяемых Фондов) и Фонда, к которому осуществляется присоединение.</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проведение реорганизации</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r>
              <w:br/>
            </w:r>
            <w:r>
              <w:rPr>
                <w:rFonts w:ascii="Times New Roman"/>
                <w:b w:val="false"/>
                <w:i w:val="false"/>
                <w:color w:val="000000"/>
                <w:sz w:val="20"/>
              </w:rPr>
              <w:t>и передачи пенсионных активов</w:t>
            </w:r>
            <w:r>
              <w:br/>
            </w:r>
            <w:r>
              <w:rPr>
                <w:rFonts w:ascii="Times New Roman"/>
                <w:b w:val="false"/>
                <w:i w:val="false"/>
                <w:color w:val="000000"/>
                <w:sz w:val="20"/>
              </w:rPr>
              <w:t>и обязательств присоединяемого</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 по договорам</w:t>
            </w:r>
            <w:r>
              <w:br/>
            </w:r>
            <w:r>
              <w:rPr>
                <w:rFonts w:ascii="Times New Roman"/>
                <w:b w:val="false"/>
                <w:i w:val="false"/>
                <w:color w:val="000000"/>
                <w:sz w:val="20"/>
              </w:rPr>
              <w:t>о пенсионном обеспечении</w:t>
            </w:r>
            <w:r>
              <w:br/>
            </w:r>
            <w:r>
              <w:rPr>
                <w:rFonts w:ascii="Times New Roman"/>
                <w:b w:val="false"/>
                <w:i w:val="false"/>
                <w:color w:val="000000"/>
                <w:sz w:val="20"/>
              </w:rPr>
              <w:t>за счет добровольных</w:t>
            </w:r>
            <w:r>
              <w:br/>
            </w:r>
            <w:r>
              <w:rPr>
                <w:rFonts w:ascii="Times New Roman"/>
                <w:b w:val="false"/>
                <w:i w:val="false"/>
                <w:color w:val="000000"/>
                <w:sz w:val="20"/>
              </w:rPr>
              <w:t>пенсионных взносов</w:t>
            </w:r>
            <w:r>
              <w:br/>
            </w:r>
            <w:r>
              <w:rPr>
                <w:rFonts w:ascii="Times New Roman"/>
                <w:b w:val="false"/>
                <w:i w:val="false"/>
                <w:color w:val="000000"/>
                <w:sz w:val="20"/>
              </w:rPr>
              <w:t>в реорганизованный добровольный</w:t>
            </w:r>
            <w:r>
              <w:br/>
            </w:r>
            <w:r>
              <w:rPr>
                <w:rFonts w:ascii="Times New Roman"/>
                <w:b w:val="false"/>
                <w:i w:val="false"/>
                <w:color w:val="000000"/>
                <w:sz w:val="20"/>
              </w:rPr>
              <w:t>накопительный пенсионный фонд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 дата ________</w:t>
            </w:r>
            <w:r>
              <w:br/>
            </w:r>
            <w:r>
              <w:rPr>
                <w:rFonts w:ascii="Times New Roman"/>
                <w:b w:val="false"/>
                <w:i w:val="false"/>
                <w:color w:val="000000"/>
                <w:sz w:val="20"/>
              </w:rPr>
              <w:t>Председателю уполномоченного</w:t>
            </w:r>
            <w:r>
              <w:br/>
            </w:r>
            <w:r>
              <w:rPr>
                <w:rFonts w:ascii="Times New Roman"/>
                <w:b w:val="false"/>
                <w:i w:val="false"/>
                <w:color w:val="000000"/>
                <w:sz w:val="20"/>
              </w:rPr>
              <w:t>органа по регулированию,</w:t>
            </w:r>
            <w:r>
              <w:br/>
            </w:r>
            <w:r>
              <w:rPr>
                <w:rFonts w:ascii="Times New Roman"/>
                <w:b w:val="false"/>
                <w:i w:val="false"/>
                <w:color w:val="000000"/>
                <w:sz w:val="20"/>
              </w:rPr>
              <w:t>контролю и надзору</w:t>
            </w:r>
            <w:r>
              <w:br/>
            </w:r>
            <w:r>
              <w:rPr>
                <w:rFonts w:ascii="Times New Roman"/>
                <w:b w:val="false"/>
                <w:i w:val="false"/>
                <w:color w:val="000000"/>
                <w:sz w:val="20"/>
              </w:rPr>
              <w:t>финансового рынка</w:t>
            </w:r>
            <w:r>
              <w:br/>
            </w:r>
            <w:r>
              <w:rPr>
                <w:rFonts w:ascii="Times New Roman"/>
                <w:b w:val="false"/>
                <w:i w:val="false"/>
                <w:color w:val="000000"/>
                <w:sz w:val="20"/>
              </w:rPr>
              <w:t>и финансовых организаций</w:t>
            </w:r>
          </w:p>
        </w:tc>
      </w:tr>
    </w:tbl>
    <w:bookmarkStart w:name="z155" w:id="145"/>
    <w:p>
      <w:pPr>
        <w:spacing w:after="0"/>
        <w:ind w:left="0"/>
        <w:jc w:val="left"/>
      </w:pPr>
      <w:r>
        <w:rPr>
          <w:rFonts w:ascii="Times New Roman"/>
          <w:b/>
          <w:i w:val="false"/>
          <w:color w:val="000000"/>
        </w:rPr>
        <w:t xml:space="preserve"> Ходатайство о получении разрешения на проведение реорганизации добровольного накопительного пенсионного фонда</w:t>
      </w:r>
    </w:p>
    <w:bookmarkEnd w:id="145"/>
    <w:p>
      <w:pPr>
        <w:spacing w:after="0"/>
        <w:ind w:left="0"/>
        <w:jc w:val="both"/>
      </w:pPr>
      <w:bookmarkStart w:name="z156" w:id="146"/>
      <w:r>
        <w:rPr>
          <w:rFonts w:ascii="Times New Roman"/>
          <w:b w:val="false"/>
          <w:i w:val="false"/>
          <w:color w:val="000000"/>
          <w:sz w:val="28"/>
        </w:rPr>
        <w:t>
      ____________________________________________________________________</w:t>
      </w:r>
    </w:p>
    <w:bookmarkEnd w:id="146"/>
    <w:p>
      <w:pPr>
        <w:spacing w:after="0"/>
        <w:ind w:left="0"/>
        <w:jc w:val="both"/>
      </w:pPr>
      <w:r>
        <w:rPr>
          <w:rFonts w:ascii="Times New Roman"/>
          <w:b w:val="false"/>
          <w:i w:val="false"/>
          <w:color w:val="000000"/>
          <w:sz w:val="28"/>
        </w:rPr>
        <w:t>(наименование Фонда)</w:t>
      </w:r>
    </w:p>
    <w:p>
      <w:pPr>
        <w:spacing w:after="0"/>
        <w:ind w:left="0"/>
        <w:jc w:val="both"/>
      </w:pPr>
      <w:r>
        <w:rPr>
          <w:rFonts w:ascii="Times New Roman"/>
          <w:b w:val="false"/>
          <w:i w:val="false"/>
          <w:color w:val="000000"/>
          <w:sz w:val="28"/>
        </w:rPr>
        <w:t>просит в соответствии с решением общего собрания акционеров Фонда</w:t>
      </w:r>
    </w:p>
    <w:p>
      <w:pPr>
        <w:spacing w:after="0"/>
        <w:ind w:left="0"/>
        <w:jc w:val="both"/>
      </w:pPr>
      <w:r>
        <w:rPr>
          <w:rFonts w:ascii="Times New Roman"/>
          <w:b w:val="false"/>
          <w:i w:val="false"/>
          <w:color w:val="000000"/>
          <w:sz w:val="28"/>
        </w:rPr>
        <w:t>№ _________ от "__" ________ _________________ 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проведения) выдать разрешение на реорганизацию Фонда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реорганизуемого Фонда)</w:t>
      </w:r>
    </w:p>
    <w:p>
      <w:pPr>
        <w:spacing w:after="0"/>
        <w:ind w:left="0"/>
        <w:jc w:val="both"/>
      </w:pPr>
      <w:r>
        <w:rPr>
          <w:rFonts w:ascii="Times New Roman"/>
          <w:b w:val="false"/>
          <w:i w:val="false"/>
          <w:color w:val="000000"/>
          <w:sz w:val="28"/>
        </w:rPr>
        <w:t>Фонд полностью отвечает за достоверность прилагаемых к ходатайству документов</w:t>
      </w:r>
    </w:p>
    <w:p>
      <w:pPr>
        <w:spacing w:after="0"/>
        <w:ind w:left="0"/>
        <w:jc w:val="both"/>
      </w:pPr>
      <w:r>
        <w:rPr>
          <w:rFonts w:ascii="Times New Roman"/>
          <w:b w:val="false"/>
          <w:i w:val="false"/>
          <w:color w:val="000000"/>
          <w:sz w:val="28"/>
        </w:rPr>
        <w:t>и 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ходатайства. Прилагаемые документы (указать поименный перечень направляемых</w:t>
      </w:r>
    </w:p>
    <w:p>
      <w:pPr>
        <w:spacing w:after="0"/>
        <w:ind w:left="0"/>
        <w:jc w:val="both"/>
      </w:pPr>
      <w:r>
        <w:rPr>
          <w:rFonts w:ascii="Times New Roman"/>
          <w:b w:val="false"/>
          <w:i w:val="false"/>
          <w:color w:val="000000"/>
          <w:sz w:val="28"/>
        </w:rPr>
        <w:t>документов, количество экземпляров и листов по каждому):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и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Первый</w:t>
      </w:r>
    </w:p>
    <w:p>
      <w:pPr>
        <w:spacing w:after="0"/>
        <w:ind w:left="0"/>
        <w:jc w:val="both"/>
      </w:pPr>
      <w:r>
        <w:rPr>
          <w:rFonts w:ascii="Times New Roman"/>
          <w:b w:val="false"/>
          <w:i w:val="false"/>
          <w:color w:val="000000"/>
          <w:sz w:val="28"/>
        </w:rPr>
        <w:t>руководитель добровольного накопительного пенсионного фонда (при его отсутствии</w:t>
      </w:r>
    </w:p>
    <w:p>
      <w:pPr>
        <w:spacing w:after="0"/>
        <w:ind w:left="0"/>
        <w:jc w:val="both"/>
      </w:pPr>
      <w:r>
        <w:rPr>
          <w:rFonts w:ascii="Times New Roman"/>
          <w:b w:val="false"/>
          <w:i w:val="false"/>
          <w:color w:val="000000"/>
          <w:sz w:val="28"/>
        </w:rPr>
        <w:t>лицо, уполномоченное на подписание с приложением документа, подтверждающего</w:t>
      </w:r>
    </w:p>
    <w:p>
      <w:pPr>
        <w:spacing w:after="0"/>
        <w:ind w:left="0"/>
        <w:jc w:val="both"/>
      </w:pPr>
      <w:r>
        <w:rPr>
          <w:rFonts w:ascii="Times New Roman"/>
          <w:b w:val="false"/>
          <w:i w:val="false"/>
          <w:color w:val="000000"/>
          <w:sz w:val="28"/>
        </w:rPr>
        <w:t>данное полномочие) либо уполномоченное лицо от акционеров Фонда (фамилия, имя,</w:t>
      </w:r>
    </w:p>
    <w:p>
      <w:pPr>
        <w:spacing w:after="0"/>
        <w:ind w:left="0"/>
        <w:jc w:val="both"/>
      </w:pPr>
      <w:r>
        <w:rPr>
          <w:rFonts w:ascii="Times New Roman"/>
          <w:b w:val="false"/>
          <w:i w:val="false"/>
          <w:color w:val="000000"/>
          <w:sz w:val="28"/>
        </w:rPr>
        <w:t>отчество (при его наличии), ссылка на документ, являющийся основанием получения</w:t>
      </w:r>
    </w:p>
    <w:p>
      <w:pPr>
        <w:spacing w:after="0"/>
        <w:ind w:left="0"/>
        <w:jc w:val="both"/>
      </w:pPr>
      <w:r>
        <w:rPr>
          <w:rFonts w:ascii="Times New Roman"/>
          <w:b w:val="false"/>
          <w:i w:val="false"/>
          <w:color w:val="000000"/>
          <w:sz w:val="28"/>
        </w:rPr>
        <w:t>названных полномочий):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 (подпись)</w:t>
      </w:r>
    </w:p>
    <w:p>
      <w:pPr>
        <w:spacing w:after="0"/>
        <w:ind w:left="0"/>
        <w:jc w:val="both"/>
      </w:pPr>
      <w:r>
        <w:rPr>
          <w:rFonts w:ascii="Times New Roman"/>
          <w:b w:val="false"/>
          <w:i w:val="false"/>
          <w:color w:val="000000"/>
          <w:sz w:val="28"/>
        </w:rPr>
        <w:t>Дата "____" __________ 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проведение реорганизации</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r>
              <w:br/>
            </w:r>
            <w:r>
              <w:rPr>
                <w:rFonts w:ascii="Times New Roman"/>
                <w:b w:val="false"/>
                <w:i w:val="false"/>
                <w:color w:val="000000"/>
                <w:sz w:val="20"/>
              </w:rPr>
              <w:t xml:space="preserve">и передачи пенсионных активов </w:t>
            </w:r>
            <w:r>
              <w:br/>
            </w:r>
            <w:r>
              <w:rPr>
                <w:rFonts w:ascii="Times New Roman"/>
                <w:b w:val="false"/>
                <w:i w:val="false"/>
                <w:color w:val="000000"/>
                <w:sz w:val="20"/>
              </w:rPr>
              <w:t>и обязательств присоединяемого</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 по договорам</w:t>
            </w:r>
            <w:r>
              <w:br/>
            </w:r>
            <w:r>
              <w:rPr>
                <w:rFonts w:ascii="Times New Roman"/>
                <w:b w:val="false"/>
                <w:i w:val="false"/>
                <w:color w:val="000000"/>
                <w:sz w:val="20"/>
              </w:rPr>
              <w:t>о пенсионном обеспечении</w:t>
            </w:r>
            <w:r>
              <w:br/>
            </w:r>
            <w:r>
              <w:rPr>
                <w:rFonts w:ascii="Times New Roman"/>
                <w:b w:val="false"/>
                <w:i w:val="false"/>
                <w:color w:val="000000"/>
                <w:sz w:val="20"/>
              </w:rPr>
              <w:t>за счет добровольных</w:t>
            </w:r>
            <w:r>
              <w:br/>
            </w:r>
            <w:r>
              <w:rPr>
                <w:rFonts w:ascii="Times New Roman"/>
                <w:b w:val="false"/>
                <w:i w:val="false"/>
                <w:color w:val="000000"/>
                <w:sz w:val="20"/>
              </w:rPr>
              <w:t>пенсионных взносов</w:t>
            </w:r>
            <w:r>
              <w:br/>
            </w:r>
            <w:r>
              <w:rPr>
                <w:rFonts w:ascii="Times New Roman"/>
                <w:b w:val="false"/>
                <w:i w:val="false"/>
                <w:color w:val="000000"/>
                <w:sz w:val="20"/>
              </w:rPr>
              <w:t>в реорганизованный добровольный</w:t>
            </w:r>
            <w:r>
              <w:br/>
            </w:r>
            <w:r>
              <w:rPr>
                <w:rFonts w:ascii="Times New Roman"/>
                <w:b w:val="false"/>
                <w:i w:val="false"/>
                <w:color w:val="000000"/>
                <w:sz w:val="20"/>
              </w:rPr>
              <w:t>накопительный пенсионный фонд</w:t>
            </w:r>
          </w:p>
        </w:tc>
      </w:tr>
    </w:tbl>
    <w:bookmarkStart w:name="z158" w:id="14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реорганизацию добровольного накопительного пенсионного фонда"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рабочих дней с даты представления добровольным накопительным пенсионным фондом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 либо мотивированный ответ об отказе в оказании государственной услуги по основаниям, предусмотренным пунктом 9 настоящего Перечня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уполномоченного органа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(предоставляется добровольным накопительным пенсионным фондом, к которому осуществляется присоединение другого добровольного накопительного пенсионного фонда (других добровольных накопительных пенсионных фондов)):</w:t>
            </w:r>
          </w:p>
          <w:p>
            <w:pPr>
              <w:spacing w:after="20"/>
              <w:ind w:left="20"/>
              <w:jc w:val="both"/>
            </w:pPr>
            <w:r>
              <w:rPr>
                <w:rFonts w:ascii="Times New Roman"/>
                <w:b w:val="false"/>
                <w:i w:val="false"/>
                <w:color w:val="000000"/>
                <w:sz w:val="20"/>
              </w:rPr>
              <w:t xml:space="preserve">
1) ходатайство о получении разрешения на проведение реорганизации добровольного накопительного пенсионного фонда в форме электронного документа,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2) решение общего собрания акционеров добровольного накопительного пенсионного фонда, к которому осуществляется присоединение, решение совместного общего собрания акционеров добровольного накопительного пенсионного фонда, к которому осуществляется присоединение, и присоединяемого добровольного накопительного пенсионного фонда (присоединяемых добровольных накопительных пенсионных фондов), а также решение общего собрания акционеров присоединяемого добровольного накопительного пенсионного фонда (присоединяемых добровольных накопительных пенсионных фондов). </w:t>
            </w:r>
          </w:p>
          <w:p>
            <w:pPr>
              <w:spacing w:after="20"/>
              <w:ind w:left="20"/>
              <w:jc w:val="both"/>
            </w:pPr>
            <w:r>
              <w:rPr>
                <w:rFonts w:ascii="Times New Roman"/>
                <w:b w:val="false"/>
                <w:i w:val="false"/>
                <w:color w:val="000000"/>
                <w:sz w:val="20"/>
              </w:rPr>
              <w:t xml:space="preserve">
Решение совместного общего собрания акционеров добровольного накопительного пенсионного фонда, к которому осуществляется присоединение, и присоединяемого добровольного накопительного пенсионного фонда (присоединяемых добровольных накопительных пенсионных фондов) содержит сведения о наименовании, местонахождении каждого из участвующих в реорганизации в форме присоединения добровольных накопительных пенсионных фондов, цене продажи акций присоединяемого добровольного накопительного пенсионного фонда (присоединяемых добровольных накопительных пенсионных фондов), цене размещения (реализации) акций добровольного накопительного пенсионного фонда, к которому осуществляется присоединение, иные условия и порядок присоединения; </w:t>
            </w:r>
          </w:p>
          <w:p>
            <w:pPr>
              <w:spacing w:after="20"/>
              <w:ind w:left="20"/>
              <w:jc w:val="both"/>
            </w:pPr>
            <w:r>
              <w:rPr>
                <w:rFonts w:ascii="Times New Roman"/>
                <w:b w:val="false"/>
                <w:i w:val="false"/>
                <w:color w:val="000000"/>
                <w:sz w:val="20"/>
              </w:rPr>
              <w:t xml:space="preserve">
3) документы, устанавливающие предполагаемые условия, порядок и сроки реорганизации добровольного накопительного пенсионного фонда; </w:t>
            </w:r>
          </w:p>
          <w:p>
            <w:pPr>
              <w:spacing w:after="20"/>
              <w:ind w:left="20"/>
              <w:jc w:val="both"/>
            </w:pPr>
            <w:r>
              <w:rPr>
                <w:rFonts w:ascii="Times New Roman"/>
                <w:b w:val="false"/>
                <w:i w:val="false"/>
                <w:color w:val="000000"/>
                <w:sz w:val="20"/>
              </w:rPr>
              <w:t xml:space="preserve">
4) финансовый прогноз последствий реорганизации, включая расчетный баланс добровольного накопительного пенсионного фонда после его реорганизации. </w:t>
            </w:r>
          </w:p>
          <w:p>
            <w:pPr>
              <w:spacing w:after="20"/>
              <w:ind w:left="20"/>
              <w:jc w:val="both"/>
            </w:pPr>
            <w:r>
              <w:rPr>
                <w:rFonts w:ascii="Times New Roman"/>
                <w:b w:val="false"/>
                <w:i w:val="false"/>
                <w:color w:val="000000"/>
                <w:sz w:val="20"/>
              </w:rPr>
              <w:t>
Документы, указанные в подпунктах 2) (в виде электронной копии документа), 3) и 4) (в виде электронных документов) частях первой и второй данного пункта прикрепляются к запросу в форме электронного документа, удостоверенного электронной цифровой подписью добровольного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p>
            <w:pPr>
              <w:spacing w:after="20"/>
              <w:ind w:left="20"/>
              <w:jc w:val="both"/>
            </w:pPr>
            <w:r>
              <w:rPr>
                <w:rFonts w:ascii="Times New Roman"/>
                <w:b w:val="false"/>
                <w:i w:val="false"/>
                <w:color w:val="000000"/>
                <w:sz w:val="20"/>
              </w:rPr>
              <w:t>
1) нарушение в результате предполагаемой реорганизации интересов вкладчиков (получателей);</w:t>
            </w:r>
          </w:p>
          <w:p>
            <w:pPr>
              <w:spacing w:after="20"/>
              <w:ind w:left="20"/>
              <w:jc w:val="both"/>
            </w:pPr>
            <w:r>
              <w:rPr>
                <w:rFonts w:ascii="Times New Roman"/>
                <w:b w:val="false"/>
                <w:i w:val="false"/>
                <w:color w:val="000000"/>
                <w:sz w:val="20"/>
              </w:rPr>
              <w:t>
2) нарушение в результате предполагаемой реорганизации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3) несоответствие документов, представленных для получения разрешения уполномоченного органа на реорганизацию, требованиям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w:t>
            </w:r>
          </w:p>
          <w:p>
            <w:pPr>
              <w:spacing w:after="20"/>
              <w:ind w:left="20"/>
              <w:jc w:val="both"/>
            </w:pPr>
            <w:r>
              <w:rPr>
                <w:rFonts w:ascii="Times New Roman"/>
                <w:b w:val="false"/>
                <w:i w:val="false"/>
                <w:color w:val="000000"/>
                <w:sz w:val="20"/>
              </w:rPr>
              <w:t>
Добровольный накопительный пенсионный фонд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разрешения на реорганизацию добровольного накопительного пенсионного фонда" осуществляется в соответствии с нормативными правовыми актами уполномоченного органа.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