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32ff" w14:textId="7403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поддержки и защиты субъектов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12 мая 2023 года № 63. Зарегистрирован в Министерстве юстиции Республики Казахстан 15 мая 2023 года № 32489. Утратил силу приказом Заместителя Премьер-Министра - Министра национальной экономики Республики Казахстан от 13 июня 2024 года № 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13.06.2024 </w:t>
      </w:r>
      <w:r>
        <w:rPr>
          <w:rFonts w:ascii="Times New Roman"/>
          <w:b w:val="false"/>
          <w:i w:val="false"/>
          <w:color w:val="ff0000"/>
          <w:sz w:val="28"/>
        </w:rPr>
        <w:t>№ 33</w:t>
      </w:r>
      <w:r>
        <w:rPr>
          <w:rFonts w:ascii="Times New Roman"/>
          <w:b w:val="false"/>
          <w:i w:val="false"/>
          <w:color w:val="ff0000"/>
          <w:sz w:val="28"/>
        </w:rPr>
        <w:t xml:space="preserve"> (вводится в действие с 01.07.2024).</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143 Предпринимательского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критерии оценки степени риска в области поддержки и защиты субъектов предпринимательства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проверочный лист в отношении государственных органов, осуществляющих контроль и надзор в сферах деятельности субъектов предпринимательства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проверочный лист в отношении государственных органов, осуществляющих выдачу разрешений первой и второй категории, прием уведомлений на осуществление предпринимательской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63</w:t>
            </w:r>
          </w:p>
        </w:tc>
      </w:tr>
    </w:tbl>
    <w:bookmarkStart w:name="z15" w:id="9"/>
    <w:p>
      <w:pPr>
        <w:spacing w:after="0"/>
        <w:ind w:left="0"/>
        <w:jc w:val="left"/>
      </w:pPr>
      <w:r>
        <w:rPr>
          <w:rFonts w:ascii="Times New Roman"/>
          <w:b/>
          <w:i w:val="false"/>
          <w:color w:val="000000"/>
        </w:rPr>
        <w:t xml:space="preserve"> Критерии оценки степени риска в области поддержки и защиты субъектов предпринимательства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критерии оценки степени риска в области поддержки и защиты субъектов предпринимательства (далее – Критерии) разработаны для отбора субъектов (объектов) контроля, осуществляющих контроль и надзор в сферах деятельности субъектов предпринимательства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(далее – Кодекс) и выдачу разрешений первой и второй категории, прием уведомлений на осуществление предпринимательской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с целью проведения профилактического контроля с посещением субъекта (объекта) контроля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143 Кодекса и определяют порядок формирования системы оценки и управления рисками.</w:t>
      </w:r>
    </w:p>
    <w:bookmarkEnd w:id="11"/>
    <w:bookmarkStart w:name="z18" w:id="1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2"/>
    <w:bookmarkStart w:name="z334" w:id="13"/>
    <w:p>
      <w:pPr>
        <w:spacing w:after="0"/>
        <w:ind w:left="0"/>
        <w:jc w:val="both"/>
      </w:pPr>
      <w:r>
        <w:rPr>
          <w:rFonts w:ascii="Times New Roman"/>
          <w:b w:val="false"/>
          <w:i w:val="false"/>
          <w:color w:val="000000"/>
          <w:sz w:val="28"/>
        </w:rPr>
        <w:t>
      1) риск – вероятность причинения вреда в результате деятельности субъекта контроля правам и законным интересам субъектов предпринимательства с учетом степени тяжести его последствий;</w:t>
      </w:r>
    </w:p>
    <w:bookmarkEnd w:id="13"/>
    <w:bookmarkStart w:name="z335" w:id="14"/>
    <w:p>
      <w:pPr>
        <w:spacing w:after="0"/>
        <w:ind w:left="0"/>
        <w:jc w:val="both"/>
      </w:pPr>
      <w:r>
        <w:rPr>
          <w:rFonts w:ascii="Times New Roman"/>
          <w:b w:val="false"/>
          <w:i w:val="false"/>
          <w:color w:val="000000"/>
          <w:sz w:val="28"/>
        </w:rPr>
        <w:t>
      2)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w:t>
      </w:r>
    </w:p>
    <w:bookmarkEnd w:id="14"/>
    <w:bookmarkStart w:name="z336" w:id="15"/>
    <w:p>
      <w:pPr>
        <w:spacing w:after="0"/>
        <w:ind w:left="0"/>
        <w:jc w:val="both"/>
      </w:pPr>
      <w:r>
        <w:rPr>
          <w:rFonts w:ascii="Times New Roman"/>
          <w:b w:val="false"/>
          <w:i w:val="false"/>
          <w:color w:val="000000"/>
          <w:sz w:val="28"/>
        </w:rPr>
        <w:t>
      3)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5"/>
    <w:bookmarkStart w:name="z337" w:id="16"/>
    <w:p>
      <w:pPr>
        <w:spacing w:after="0"/>
        <w:ind w:left="0"/>
        <w:jc w:val="both"/>
      </w:pP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6"/>
    <w:bookmarkStart w:name="z338" w:id="17"/>
    <w:p>
      <w:pPr>
        <w:spacing w:after="0"/>
        <w:ind w:left="0"/>
        <w:jc w:val="both"/>
      </w:pPr>
      <w:r>
        <w:rPr>
          <w:rFonts w:ascii="Times New Roman"/>
          <w:b w:val="false"/>
          <w:i w:val="false"/>
          <w:color w:val="000000"/>
          <w:sz w:val="28"/>
        </w:rPr>
        <w:t>
      5)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7"/>
    <w:bookmarkStart w:name="z339" w:id="18"/>
    <w:p>
      <w:pPr>
        <w:spacing w:after="0"/>
        <w:ind w:left="0"/>
        <w:jc w:val="both"/>
      </w:pPr>
      <w:r>
        <w:rPr>
          <w:rFonts w:ascii="Times New Roman"/>
          <w:b w:val="false"/>
          <w:i w:val="false"/>
          <w:color w:val="000000"/>
          <w:sz w:val="28"/>
        </w:rPr>
        <w:t>
      6) проверочный лист – перечень требований, предъявляемых к деятельности субъектов (объектов) контроля, несоблюдение которых влечет за собой причинение вреда правам и законным интересам субъектов предпринимательства;</w:t>
      </w:r>
    </w:p>
    <w:bookmarkEnd w:id="18"/>
    <w:bookmarkStart w:name="z340" w:id="19"/>
    <w:p>
      <w:pPr>
        <w:spacing w:after="0"/>
        <w:ind w:left="0"/>
        <w:jc w:val="both"/>
      </w:pPr>
      <w:r>
        <w:rPr>
          <w:rFonts w:ascii="Times New Roman"/>
          <w:b w:val="false"/>
          <w:i w:val="false"/>
          <w:color w:val="000000"/>
          <w:sz w:val="28"/>
        </w:rPr>
        <w:t>
      7) грубые нарушения – нарушения требований, установленных нормативными правовыми актами в области поддержки и защиты субъектов предпринимательства, влекущие административную ответственность;</w:t>
      </w:r>
    </w:p>
    <w:bookmarkEnd w:id="19"/>
    <w:bookmarkStart w:name="z341" w:id="20"/>
    <w:p>
      <w:pPr>
        <w:spacing w:after="0"/>
        <w:ind w:left="0"/>
        <w:jc w:val="both"/>
      </w:pPr>
      <w:r>
        <w:rPr>
          <w:rFonts w:ascii="Times New Roman"/>
          <w:b w:val="false"/>
          <w:i w:val="false"/>
          <w:color w:val="000000"/>
          <w:sz w:val="28"/>
        </w:rPr>
        <w:t>
      8) значительные нарушения – нарушения требований, установленных нормативными правовыми актами в области поддержки и защиты субъектов предпринимательства, не влекущие административную ответственность и не относящиеся к грубым и незначительным нарушениям;</w:t>
      </w:r>
    </w:p>
    <w:bookmarkEnd w:id="20"/>
    <w:bookmarkStart w:name="z342" w:id="21"/>
    <w:p>
      <w:pPr>
        <w:spacing w:after="0"/>
        <w:ind w:left="0"/>
        <w:jc w:val="both"/>
      </w:pPr>
      <w:r>
        <w:rPr>
          <w:rFonts w:ascii="Times New Roman"/>
          <w:b w:val="false"/>
          <w:i w:val="false"/>
          <w:color w:val="000000"/>
          <w:sz w:val="28"/>
        </w:rPr>
        <w:t>
      9) незначительные нарушения – нарушения требований, установленных нормативными правовыми актами в области поддержки и защиты субъектов предпринимательства связанные с отсутствием критериев оценки степени риска и проверочных листов, применяемые для проведения профилактического контроля с посещением субъекта (объекта) контроля и надзора и (или) проверок и размещения их на интернет-ресурсах регулирующих государственных органов, а также ненадлежащим осуществлением оформления лицензии и (или) приложения к лицензии в электронной форме.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18.03.2024 </w:t>
      </w:r>
      <w:r>
        <w:rPr>
          <w:rFonts w:ascii="Times New Roman"/>
          <w:b w:val="false"/>
          <w:i w:val="false"/>
          <w:color w:val="00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3. Определение степени риска в области поддержки и защиты субъектов предпринимательства осуществляется в зависимости от вероятности нарушения прав и законных интересов субъектов предпринимательства.</w:t>
      </w:r>
    </w:p>
    <w:bookmarkEnd w:id="22"/>
    <w:bookmarkStart w:name="z29" w:id="23"/>
    <w:p>
      <w:pPr>
        <w:spacing w:after="0"/>
        <w:ind w:left="0"/>
        <w:jc w:val="both"/>
      </w:pPr>
      <w:r>
        <w:rPr>
          <w:rFonts w:ascii="Times New Roman"/>
          <w:b w:val="false"/>
          <w:i w:val="false"/>
          <w:color w:val="000000"/>
          <w:sz w:val="28"/>
        </w:rPr>
        <w:t>
      4. При проведении анализа всех возможных рисков, субъекты контроля распределяются по двум степеням риска (высокая и не отнесенная к высокой).</w:t>
      </w:r>
    </w:p>
    <w:bookmarkEnd w:id="23"/>
    <w:bookmarkStart w:name="z30" w:id="24"/>
    <w:p>
      <w:pPr>
        <w:spacing w:after="0"/>
        <w:ind w:left="0"/>
        <w:jc w:val="both"/>
      </w:pPr>
      <w:r>
        <w:rPr>
          <w:rFonts w:ascii="Times New Roman"/>
          <w:b w:val="false"/>
          <w:i w:val="false"/>
          <w:color w:val="000000"/>
          <w:sz w:val="28"/>
        </w:rPr>
        <w:t>
      5. Отнесение субъектов контроля по степеням рисков осуществляется на основе объективных и субъективных критериев.</w:t>
      </w:r>
    </w:p>
    <w:bookmarkEnd w:id="24"/>
    <w:bookmarkStart w:name="z31" w:id="25"/>
    <w:p>
      <w:pPr>
        <w:spacing w:after="0"/>
        <w:ind w:left="0"/>
        <w:jc w:val="left"/>
      </w:pPr>
      <w:r>
        <w:rPr>
          <w:rFonts w:ascii="Times New Roman"/>
          <w:b/>
          <w:i w:val="false"/>
          <w:color w:val="000000"/>
        </w:rPr>
        <w:t xml:space="preserve"> Глава 2. Формирование системы оценки и управления рисками при проведении профилактического контроля с посещением субъекта контроля</w:t>
      </w:r>
    </w:p>
    <w:bookmarkEnd w:id="25"/>
    <w:bookmarkStart w:name="z32" w:id="26"/>
    <w:p>
      <w:pPr>
        <w:spacing w:after="0"/>
        <w:ind w:left="0"/>
        <w:jc w:val="both"/>
      </w:pPr>
      <w:r>
        <w:rPr>
          <w:rFonts w:ascii="Times New Roman"/>
          <w:b w:val="false"/>
          <w:i w:val="false"/>
          <w:color w:val="000000"/>
          <w:sz w:val="28"/>
        </w:rPr>
        <w:t>
      6. C учетом специфики профилактического контроля с посещением субъекта контроля в области поддержки и защиты субъектов предпринимательства производится отбор субъектов контроля в двух регионах (области, городе республиканского значения, столице), с наименьшим показателем прироста количества действующих субъектов малого и среднего бизнеса по сравнению с аналогичным периодом предыдущего года в процентном соотношении согласно данным Бюро национальной статистики Агентства по стратегическому планированию и реформам Республики Казахстан.</w:t>
      </w:r>
    </w:p>
    <w:bookmarkEnd w:id="26"/>
    <w:p>
      <w:pPr>
        <w:spacing w:after="0"/>
        <w:ind w:left="0"/>
        <w:jc w:val="both"/>
      </w:pPr>
      <w:r>
        <w:rPr>
          <w:rFonts w:ascii="Times New Roman"/>
          <w:b w:val="false"/>
          <w:i w:val="false"/>
          <w:color w:val="000000"/>
          <w:sz w:val="28"/>
        </w:rPr>
        <w:t>
      При этом отбору не подлежат субъекты контроля в регионах (области, городе республиканского значения, столице), в которых был осуществлен профилактический контроль с посещением субъекта контроля за последние три года.</w:t>
      </w:r>
    </w:p>
    <w:p>
      <w:pPr>
        <w:spacing w:after="0"/>
        <w:ind w:left="0"/>
        <w:jc w:val="both"/>
      </w:pPr>
      <w:r>
        <w:rPr>
          <w:rFonts w:ascii="Times New Roman"/>
          <w:b w:val="false"/>
          <w:i w:val="false"/>
          <w:color w:val="000000"/>
          <w:sz w:val="28"/>
        </w:rPr>
        <w:t>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национальной экономики РК от 18.03.2024 </w:t>
      </w:r>
      <w:r>
        <w:rPr>
          <w:rFonts w:ascii="Times New Roman"/>
          <w:b w:val="false"/>
          <w:i w:val="false"/>
          <w:color w:val="00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left"/>
      </w:pPr>
      <w:r>
        <w:rPr>
          <w:rFonts w:ascii="Times New Roman"/>
          <w:b/>
          <w:i w:val="false"/>
          <w:color w:val="000000"/>
        </w:rPr>
        <w:t xml:space="preserve"> Параграф 1. Объективные критерии</w:t>
      </w:r>
    </w:p>
    <w:bookmarkEnd w:id="27"/>
    <w:bookmarkStart w:name="z36" w:id="28"/>
    <w:p>
      <w:pPr>
        <w:spacing w:after="0"/>
        <w:ind w:left="0"/>
        <w:jc w:val="both"/>
      </w:pPr>
      <w:r>
        <w:rPr>
          <w:rFonts w:ascii="Times New Roman"/>
          <w:b w:val="false"/>
          <w:i w:val="false"/>
          <w:color w:val="000000"/>
          <w:sz w:val="28"/>
        </w:rPr>
        <w:t>
      7. По объективным критериям к высокой степени риска относятся все субъекты контроля в отобранных регионах (области, городе республиканского значения, столице), осуществляющие:</w:t>
      </w:r>
    </w:p>
    <w:bookmarkEnd w:id="28"/>
    <w:bookmarkStart w:name="z37" w:id="29"/>
    <w:p>
      <w:pPr>
        <w:spacing w:after="0"/>
        <w:ind w:left="0"/>
        <w:jc w:val="both"/>
      </w:pPr>
      <w:r>
        <w:rPr>
          <w:rFonts w:ascii="Times New Roman"/>
          <w:b w:val="false"/>
          <w:i w:val="false"/>
          <w:color w:val="000000"/>
          <w:sz w:val="28"/>
        </w:rPr>
        <w:t xml:space="preserve">
      1) государственный контроль и надзор в сферах деятельности субъектов предпринимательства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Кодекса;</w:t>
      </w:r>
    </w:p>
    <w:bookmarkEnd w:id="29"/>
    <w:bookmarkStart w:name="z38" w:id="30"/>
    <w:p>
      <w:pPr>
        <w:spacing w:after="0"/>
        <w:ind w:left="0"/>
        <w:jc w:val="both"/>
      </w:pPr>
      <w:r>
        <w:rPr>
          <w:rFonts w:ascii="Times New Roman"/>
          <w:b w:val="false"/>
          <w:i w:val="false"/>
          <w:color w:val="000000"/>
          <w:sz w:val="28"/>
        </w:rPr>
        <w:t xml:space="preserve">
      2) выдачу разрешений первой и второй категории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xml:space="preserve">
      8. По объективным критериям к высокой степени риска не относятся субъекты контроля в отобранных регионах (области, городе республиканского значения, столице), осуществляющие прием уведомлений на осуществление предпринимательской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9.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bookmarkEnd w:id="32"/>
    <w:bookmarkStart w:name="z41" w:id="33"/>
    <w:p>
      <w:pPr>
        <w:spacing w:after="0"/>
        <w:ind w:left="0"/>
        <w:jc w:val="left"/>
      </w:pPr>
      <w:r>
        <w:rPr>
          <w:rFonts w:ascii="Times New Roman"/>
          <w:b/>
          <w:i w:val="false"/>
          <w:color w:val="000000"/>
        </w:rPr>
        <w:t xml:space="preserve"> Параграф 2. Субъективные критерии</w:t>
      </w:r>
    </w:p>
    <w:bookmarkEnd w:id="33"/>
    <w:bookmarkStart w:name="z42" w:id="34"/>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34"/>
    <w:bookmarkStart w:name="z43" w:id="35"/>
    <w:p>
      <w:pPr>
        <w:spacing w:after="0"/>
        <w:ind w:left="0"/>
        <w:jc w:val="both"/>
      </w:pPr>
      <w:r>
        <w:rPr>
          <w:rFonts w:ascii="Times New Roman"/>
          <w:b w:val="false"/>
          <w:i w:val="false"/>
          <w:color w:val="000000"/>
          <w:sz w:val="28"/>
        </w:rPr>
        <w:t>
      1) формирование базы данных и сбор информации;</w:t>
      </w:r>
    </w:p>
    <w:bookmarkEnd w:id="35"/>
    <w:bookmarkStart w:name="z44" w:id="36"/>
    <w:p>
      <w:pPr>
        <w:spacing w:after="0"/>
        <w:ind w:left="0"/>
        <w:jc w:val="both"/>
      </w:pPr>
      <w:r>
        <w:rPr>
          <w:rFonts w:ascii="Times New Roman"/>
          <w:b w:val="false"/>
          <w:i w:val="false"/>
          <w:color w:val="000000"/>
          <w:sz w:val="28"/>
        </w:rPr>
        <w:t>
      2) анализ информации и оценка рисков.</w:t>
      </w:r>
    </w:p>
    <w:bookmarkEnd w:id="36"/>
    <w:bookmarkStart w:name="z45" w:id="37"/>
    <w:p>
      <w:pPr>
        <w:spacing w:after="0"/>
        <w:ind w:left="0"/>
        <w:jc w:val="both"/>
      </w:pPr>
      <w:r>
        <w:rPr>
          <w:rFonts w:ascii="Times New Roman"/>
          <w:b w:val="false"/>
          <w:i w:val="false"/>
          <w:color w:val="000000"/>
          <w:sz w:val="28"/>
        </w:rPr>
        <w:t>
      11. Анализ и оценка субъективных критериев позволит сконцентрировать профилактический контроль с посещением субъекта контроля в отношении субъекта контроля с наибольшим потенциальным риском.</w:t>
      </w:r>
    </w:p>
    <w:bookmarkEnd w:id="37"/>
    <w:bookmarkStart w:name="z46" w:id="38"/>
    <w:p>
      <w:pPr>
        <w:spacing w:after="0"/>
        <w:ind w:left="0"/>
        <w:jc w:val="both"/>
      </w:pPr>
      <w:r>
        <w:rPr>
          <w:rFonts w:ascii="Times New Roman"/>
          <w:b w:val="false"/>
          <w:i w:val="false"/>
          <w:color w:val="000000"/>
          <w:sz w:val="28"/>
        </w:rPr>
        <w:t>
      12. Для оценки степени риска используются следующие источники информации:</w:t>
      </w:r>
    </w:p>
    <w:bookmarkEnd w:id="38"/>
    <w:bookmarkStart w:name="z343" w:id="39"/>
    <w:p>
      <w:pPr>
        <w:spacing w:after="0"/>
        <w:ind w:left="0"/>
        <w:jc w:val="both"/>
      </w:pPr>
      <w:r>
        <w:rPr>
          <w:rFonts w:ascii="Times New Roman"/>
          <w:b w:val="false"/>
          <w:i w:val="false"/>
          <w:color w:val="000000"/>
          <w:sz w:val="28"/>
        </w:rPr>
        <w:t>
      1) анализ официальных интернет-ресурсов государственных органов, средств массовой информации;</w:t>
      </w:r>
    </w:p>
    <w:bookmarkEnd w:id="39"/>
    <w:bookmarkStart w:name="z344" w:id="40"/>
    <w:p>
      <w:pPr>
        <w:spacing w:after="0"/>
        <w:ind w:left="0"/>
        <w:jc w:val="both"/>
      </w:pPr>
      <w:r>
        <w:rPr>
          <w:rFonts w:ascii="Times New Roman"/>
          <w:b w:val="false"/>
          <w:i w:val="false"/>
          <w:color w:val="000000"/>
          <w:sz w:val="28"/>
        </w:rPr>
        <w:t>
      2) результаты предыдущего профилактического контроля с посещением субъекта (объекта) контроля и надзора и (или) проверок.</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национальной экономики РК от 18.03.2024 </w:t>
      </w:r>
      <w:r>
        <w:rPr>
          <w:rFonts w:ascii="Times New Roman"/>
          <w:b w:val="false"/>
          <w:i w:val="false"/>
          <w:color w:val="00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13. По субъективным критериям к высокой степени риска относятся в рамках отобранных регионов (области, городе республиканского значения, столице) субъекты контроля с наибольшим количеством, за полугодие, предшествующее анализу:</w:t>
      </w:r>
    </w:p>
    <w:bookmarkEnd w:id="41"/>
    <w:bookmarkStart w:name="z345" w:id="42"/>
    <w:p>
      <w:pPr>
        <w:spacing w:after="0"/>
        <w:ind w:left="0"/>
        <w:jc w:val="both"/>
      </w:pPr>
      <w:r>
        <w:rPr>
          <w:rFonts w:ascii="Times New Roman"/>
          <w:b w:val="false"/>
          <w:i w:val="false"/>
          <w:color w:val="000000"/>
          <w:sz w:val="28"/>
        </w:rPr>
        <w:t>
      1) проведенного профилактического контроля с посещением субъекта (объекта) контроля и надзора и (или) проверок в сферах деятельности субъектов предпринимательства;</w:t>
      </w:r>
    </w:p>
    <w:bookmarkEnd w:id="42"/>
    <w:bookmarkStart w:name="z346" w:id="43"/>
    <w:p>
      <w:pPr>
        <w:spacing w:after="0"/>
        <w:ind w:left="0"/>
        <w:jc w:val="both"/>
      </w:pPr>
      <w:r>
        <w:rPr>
          <w:rFonts w:ascii="Times New Roman"/>
          <w:b w:val="false"/>
          <w:i w:val="false"/>
          <w:color w:val="000000"/>
          <w:sz w:val="28"/>
        </w:rPr>
        <w:t>
      2) отказов в выдаче разрешений первой и второй категории.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Заместителя Премьер-Министра - Министра национальной экономики РК от 18.03.2024 </w:t>
      </w:r>
      <w:r>
        <w:rPr>
          <w:rFonts w:ascii="Times New Roman"/>
          <w:b w:val="false"/>
          <w:i w:val="false"/>
          <w:color w:val="00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14. В отношении субъектов контроля, отнесенных к высокой степени риска, проводится профилактический контроль с посещением субъекта контроля.</w:t>
      </w:r>
    </w:p>
    <w:bookmarkEnd w:id="44"/>
    <w:bookmarkStart w:name="z53" w:id="45"/>
    <w:p>
      <w:pPr>
        <w:spacing w:after="0"/>
        <w:ind w:left="0"/>
        <w:jc w:val="both"/>
      </w:pPr>
      <w:r>
        <w:rPr>
          <w:rFonts w:ascii="Times New Roman"/>
          <w:b w:val="false"/>
          <w:i w:val="false"/>
          <w:color w:val="000000"/>
          <w:sz w:val="28"/>
        </w:rPr>
        <w:t>
      15. При отборе субъектов профилактического контроля с посещением субъекта контроля в анализируемом периоде не учитываются сферы контроля и надзора, разрешения первой и второй категории, ранее учтенные и использованные в предыдущем анализируемом периоде.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национальной экономики РК от 18.03.2024 </w:t>
      </w:r>
      <w:r>
        <w:rPr>
          <w:rFonts w:ascii="Times New Roman"/>
          <w:b w:val="false"/>
          <w:i w:val="false"/>
          <w:color w:val="00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16. Нарушения в области поддержки и защиты субъектов предпринимательства подразделяются на три степени: грубые, значительные и незначительные. Степени нарушений требований определяются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Критериям.</w:t>
      </w:r>
    </w:p>
    <w:bookmarkEnd w:id="46"/>
    <w:bookmarkStart w:name="z55" w:id="47"/>
    <w:p>
      <w:pPr>
        <w:spacing w:after="0"/>
        <w:ind w:left="0"/>
        <w:jc w:val="both"/>
      </w:pPr>
      <w:r>
        <w:rPr>
          <w:rFonts w:ascii="Times New Roman"/>
          <w:b w:val="false"/>
          <w:i w:val="false"/>
          <w:color w:val="000000"/>
          <w:sz w:val="28"/>
        </w:rPr>
        <w:t xml:space="preserve">
      17.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 </w:t>
      </w:r>
    </w:p>
    <w:bookmarkEnd w:id="47"/>
    <w:bookmarkStart w:name="z56" w:id="48"/>
    <w:p>
      <w:pPr>
        <w:spacing w:after="0"/>
        <w:ind w:left="0"/>
        <w:jc w:val="both"/>
      </w:pPr>
      <w:r>
        <w:rPr>
          <w:rFonts w:ascii="Times New Roman"/>
          <w:b w:val="false"/>
          <w:i w:val="false"/>
          <w:color w:val="000000"/>
          <w:sz w:val="28"/>
        </w:rPr>
        <w:t>
      Списки профилактического контроля с посещением субъекта контроля составляются с учетом приоритетности субъектов контроля с наибольшим показателем степени риска по субъективным критериям.</w:t>
      </w:r>
    </w:p>
    <w:bookmarkEnd w:id="48"/>
    <w:bookmarkStart w:name="z57" w:id="49"/>
    <w:p>
      <w:pPr>
        <w:spacing w:after="0"/>
        <w:ind w:left="0"/>
        <w:jc w:val="left"/>
      </w:pPr>
      <w:r>
        <w:rPr>
          <w:rFonts w:ascii="Times New Roman"/>
          <w:b/>
          <w:i w:val="false"/>
          <w:color w:val="000000"/>
        </w:rPr>
        <w:t xml:space="preserve"> Глава 3. Расчет общего показателя степени риска по субъективным критериям</w:t>
      </w:r>
    </w:p>
    <w:bookmarkEnd w:id="49"/>
    <w:bookmarkStart w:name="z58" w:id="50"/>
    <w:p>
      <w:pPr>
        <w:spacing w:after="0"/>
        <w:ind w:left="0"/>
        <w:jc w:val="both"/>
      </w:pPr>
      <w:r>
        <w:rPr>
          <w:rFonts w:ascii="Times New Roman"/>
          <w:b w:val="false"/>
          <w:i w:val="false"/>
          <w:color w:val="000000"/>
          <w:sz w:val="28"/>
        </w:rPr>
        <w:t>
      18. После проведения анализа всех возможных рисков субъекты контроля распределяются по двум степеням риска (высокая и не отнесенная к высокой).</w:t>
      </w:r>
    </w:p>
    <w:bookmarkEnd w:id="50"/>
    <w:bookmarkStart w:name="z59" w:id="51"/>
    <w:p>
      <w:pPr>
        <w:spacing w:after="0"/>
        <w:ind w:left="0"/>
        <w:jc w:val="both"/>
      </w:pPr>
      <w:r>
        <w:rPr>
          <w:rFonts w:ascii="Times New Roman"/>
          <w:b w:val="false"/>
          <w:i w:val="false"/>
          <w:color w:val="000000"/>
          <w:sz w:val="28"/>
        </w:rPr>
        <w:t>
      Для отнесения субъекта контроля к степени риска, применяется следующий порядок расчета показателя степени риска.</w:t>
      </w:r>
    </w:p>
    <w:bookmarkEnd w:id="51"/>
    <w:bookmarkStart w:name="z60" w:id="5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контроля.</w:t>
      </w:r>
    </w:p>
    <w:bookmarkEnd w:id="52"/>
    <w:bookmarkStart w:name="z61" w:id="53"/>
    <w:p>
      <w:pPr>
        <w:spacing w:after="0"/>
        <w:ind w:left="0"/>
        <w:jc w:val="both"/>
      </w:pPr>
      <w:r>
        <w:rPr>
          <w:rFonts w:ascii="Times New Roman"/>
          <w:b w:val="false"/>
          <w:i w:val="false"/>
          <w:color w:val="000000"/>
          <w:sz w:val="28"/>
        </w:rPr>
        <w:t>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w:t>
      </w:r>
    </w:p>
    <w:bookmarkEnd w:id="53"/>
    <w:bookmarkStart w:name="z62" w:id="5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4"/>
    <w:bookmarkStart w:name="z63" w:id="55"/>
    <w:p>
      <w:pPr>
        <w:spacing w:after="0"/>
        <w:ind w:left="0"/>
        <w:jc w:val="both"/>
      </w:pPr>
      <w:r>
        <w:rPr>
          <w:rFonts w:ascii="Times New Roman"/>
          <w:b w:val="false"/>
          <w:i w:val="false"/>
          <w:color w:val="000000"/>
          <w:sz w:val="28"/>
        </w:rPr>
        <w:t>
      SРз = (SР2 х 100/SР1) х 0,7, где:</w:t>
      </w:r>
    </w:p>
    <w:bookmarkEnd w:id="55"/>
    <w:bookmarkStart w:name="z64" w:id="56"/>
    <w:p>
      <w:pPr>
        <w:spacing w:after="0"/>
        <w:ind w:left="0"/>
        <w:jc w:val="both"/>
      </w:pPr>
      <w:r>
        <w:rPr>
          <w:rFonts w:ascii="Times New Roman"/>
          <w:b w:val="false"/>
          <w:i w:val="false"/>
          <w:color w:val="000000"/>
          <w:sz w:val="28"/>
        </w:rPr>
        <w:t>
      SРз – показатель значительных нарушений;</w:t>
      </w:r>
    </w:p>
    <w:bookmarkEnd w:id="56"/>
    <w:bookmarkStart w:name="z65" w:id="57"/>
    <w:p>
      <w:pPr>
        <w:spacing w:after="0"/>
        <w:ind w:left="0"/>
        <w:jc w:val="both"/>
      </w:pPr>
      <w:r>
        <w:rPr>
          <w:rFonts w:ascii="Times New Roman"/>
          <w:b w:val="false"/>
          <w:i w:val="false"/>
          <w:color w:val="000000"/>
          <w:sz w:val="28"/>
        </w:rPr>
        <w:t>
      SР1 – требуемое количество значительных нарушений;</w:t>
      </w:r>
    </w:p>
    <w:bookmarkEnd w:id="57"/>
    <w:bookmarkStart w:name="z66" w:id="58"/>
    <w:p>
      <w:pPr>
        <w:spacing w:after="0"/>
        <w:ind w:left="0"/>
        <w:jc w:val="both"/>
      </w:pPr>
      <w:r>
        <w:rPr>
          <w:rFonts w:ascii="Times New Roman"/>
          <w:b w:val="false"/>
          <w:i w:val="false"/>
          <w:color w:val="000000"/>
          <w:sz w:val="28"/>
        </w:rPr>
        <w:t>
      SР2 – количество выявленных значительных нарушений;</w:t>
      </w:r>
    </w:p>
    <w:bookmarkEnd w:id="58"/>
    <w:bookmarkStart w:name="z67" w:id="59"/>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59"/>
    <w:bookmarkStart w:name="z68" w:id="60"/>
    <w:p>
      <w:pPr>
        <w:spacing w:after="0"/>
        <w:ind w:left="0"/>
        <w:jc w:val="both"/>
      </w:pPr>
      <w:r>
        <w:rPr>
          <w:rFonts w:ascii="Times New Roman"/>
          <w:b w:val="false"/>
          <w:i w:val="false"/>
          <w:color w:val="000000"/>
          <w:sz w:val="28"/>
        </w:rPr>
        <w:t>
      SРн = (SР2 х 100/SР1) х 0,3, где:</w:t>
      </w:r>
    </w:p>
    <w:bookmarkEnd w:id="60"/>
    <w:bookmarkStart w:name="z69" w:id="61"/>
    <w:p>
      <w:pPr>
        <w:spacing w:after="0"/>
        <w:ind w:left="0"/>
        <w:jc w:val="both"/>
      </w:pPr>
      <w:r>
        <w:rPr>
          <w:rFonts w:ascii="Times New Roman"/>
          <w:b w:val="false"/>
          <w:i w:val="false"/>
          <w:color w:val="000000"/>
          <w:sz w:val="28"/>
        </w:rPr>
        <w:t>
      SРн – показатель незначительных нарушений;</w:t>
      </w:r>
    </w:p>
    <w:bookmarkEnd w:id="61"/>
    <w:bookmarkStart w:name="z70" w:id="62"/>
    <w:p>
      <w:pPr>
        <w:spacing w:after="0"/>
        <w:ind w:left="0"/>
        <w:jc w:val="both"/>
      </w:pPr>
      <w:r>
        <w:rPr>
          <w:rFonts w:ascii="Times New Roman"/>
          <w:b w:val="false"/>
          <w:i w:val="false"/>
          <w:color w:val="000000"/>
          <w:sz w:val="28"/>
        </w:rPr>
        <w:t>
      SР1 – требуемое количество незначительных нарушений;</w:t>
      </w:r>
    </w:p>
    <w:bookmarkEnd w:id="62"/>
    <w:bookmarkStart w:name="z71" w:id="63"/>
    <w:p>
      <w:pPr>
        <w:spacing w:after="0"/>
        <w:ind w:left="0"/>
        <w:jc w:val="both"/>
      </w:pPr>
      <w:r>
        <w:rPr>
          <w:rFonts w:ascii="Times New Roman"/>
          <w:b w:val="false"/>
          <w:i w:val="false"/>
          <w:color w:val="000000"/>
          <w:sz w:val="28"/>
        </w:rPr>
        <w:t>
      SР2 – количество выявленных незначительных нарушений;</w:t>
      </w:r>
    </w:p>
    <w:bookmarkEnd w:id="63"/>
    <w:bookmarkStart w:name="z72" w:id="64"/>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64"/>
    <w:bookmarkStart w:name="z73" w:id="65"/>
    <w:p>
      <w:pPr>
        <w:spacing w:after="0"/>
        <w:ind w:left="0"/>
        <w:jc w:val="both"/>
      </w:pPr>
      <w:r>
        <w:rPr>
          <w:rFonts w:ascii="Times New Roman"/>
          <w:b w:val="false"/>
          <w:i w:val="false"/>
          <w:color w:val="000000"/>
          <w:sz w:val="28"/>
        </w:rPr>
        <w:t>
      SР = SРз + SРн, где:</w:t>
      </w:r>
    </w:p>
    <w:bookmarkEnd w:id="65"/>
    <w:bookmarkStart w:name="z74" w:id="66"/>
    <w:p>
      <w:pPr>
        <w:spacing w:after="0"/>
        <w:ind w:left="0"/>
        <w:jc w:val="both"/>
      </w:pPr>
      <w:r>
        <w:rPr>
          <w:rFonts w:ascii="Times New Roman"/>
          <w:b w:val="false"/>
          <w:i w:val="false"/>
          <w:color w:val="000000"/>
          <w:sz w:val="28"/>
        </w:rPr>
        <w:t>
      SР – общий показатель степени риска;</w:t>
      </w:r>
    </w:p>
    <w:bookmarkEnd w:id="66"/>
    <w:bookmarkStart w:name="z75" w:id="67"/>
    <w:p>
      <w:pPr>
        <w:spacing w:after="0"/>
        <w:ind w:left="0"/>
        <w:jc w:val="both"/>
      </w:pPr>
      <w:r>
        <w:rPr>
          <w:rFonts w:ascii="Times New Roman"/>
          <w:b w:val="false"/>
          <w:i w:val="false"/>
          <w:color w:val="000000"/>
          <w:sz w:val="28"/>
        </w:rPr>
        <w:t>
      SРз – показатель значительных нарушений;</w:t>
      </w:r>
    </w:p>
    <w:bookmarkEnd w:id="67"/>
    <w:bookmarkStart w:name="z76" w:id="68"/>
    <w:p>
      <w:pPr>
        <w:spacing w:after="0"/>
        <w:ind w:left="0"/>
        <w:jc w:val="both"/>
      </w:pPr>
      <w:r>
        <w:rPr>
          <w:rFonts w:ascii="Times New Roman"/>
          <w:b w:val="false"/>
          <w:i w:val="false"/>
          <w:color w:val="000000"/>
          <w:sz w:val="28"/>
        </w:rPr>
        <w:t>
      SРн – показатель незначительных нарушений.</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 защиты</w:t>
            </w:r>
            <w:r>
              <w:br/>
            </w:r>
            <w:r>
              <w:rPr>
                <w:rFonts w:ascii="Times New Roman"/>
                <w:b w:val="false"/>
                <w:i w:val="false"/>
                <w:color w:val="000000"/>
                <w:sz w:val="20"/>
              </w:rPr>
              <w:t>и поддержки субъектов</w:t>
            </w:r>
            <w:r>
              <w:br/>
            </w:r>
            <w:r>
              <w:rPr>
                <w:rFonts w:ascii="Times New Roman"/>
                <w:b w:val="false"/>
                <w:i w:val="false"/>
                <w:color w:val="000000"/>
                <w:sz w:val="20"/>
              </w:rPr>
              <w:t>предпринимательства</w:t>
            </w:r>
          </w:p>
        </w:tc>
      </w:tr>
    </w:tbl>
    <w:bookmarkStart w:name="z347" w:id="69"/>
    <w:p>
      <w:pPr>
        <w:spacing w:after="0"/>
        <w:ind w:left="0"/>
        <w:jc w:val="left"/>
      </w:pPr>
      <w:r>
        <w:rPr>
          <w:rFonts w:ascii="Times New Roman"/>
          <w:b/>
          <w:i w:val="false"/>
          <w:color w:val="000000"/>
        </w:rPr>
        <w:t xml:space="preserve"> Перечень субъективных критериев в области поддержки и защиты субъектов предпринимательства</w:t>
      </w:r>
    </w:p>
    <w:bookmarkEnd w:id="69"/>
    <w:p>
      <w:pPr>
        <w:spacing w:after="0"/>
        <w:ind w:left="0"/>
        <w:jc w:val="both"/>
      </w:pPr>
      <w:r>
        <w:rPr>
          <w:rFonts w:ascii="Times New Roman"/>
          <w:b w:val="false"/>
          <w:i w:val="false"/>
          <w:color w:val="ff0000"/>
          <w:sz w:val="28"/>
        </w:rPr>
        <w:t xml:space="preserve">
      Сноска. Приложение - в редакции приказа Заместителя Премьер-Министра - Министра национальной экономики РК от 18.03.2024 </w:t>
      </w:r>
      <w:r>
        <w:rPr>
          <w:rFonts w:ascii="Times New Roman"/>
          <w:b w:val="false"/>
          <w:i w:val="false"/>
          <w:color w:val="ff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проведенного профилактического контроля с посещением субъекта (объекта) контроля и надзора и (или) проверок в сферах деятельности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отказов в выдаче разрешений первой и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предыдущего профилактического контроля с посещением субъектов (объектов) контроля и надзора и (или) проверок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и проверочных листов, применяемые для проведения профилактического контроля с посещением субъекта (объекта) контроля и надзора и (или) проверок на соответствие требованиям, утвержденных совместным актом регулирующего государственного органа, уполномоченного органа по предпринимательству и размещенных на интернет-ресурсах регулирующего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касающиеся критериев оценки степени риска для отбора субъектов (объектов) контроля и надзора, проверочных листов, которые размещаются на интернет-ресурсах регулирующих государственных органов и иных цифровых платформах.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без посещения субъекта (объекта) контроля и надзора на основании анализа отчетности, представляемой субъектами частного предпринимательства, сведений уполномоченных государственных органов, а также полученных из государственных информационных систем и электронных информационных ресурсов, и других документов и сведений о деятельности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p>
            <w:pPr>
              <w:spacing w:after="20"/>
              <w:ind w:left="20"/>
              <w:jc w:val="both"/>
            </w:pPr>
            <w:r>
              <w:rPr>
                <w:rFonts w:ascii="Times New Roman"/>
                <w:b w:val="false"/>
                <w:i w:val="false"/>
                <w:color w:val="000000"/>
                <w:sz w:val="20"/>
              </w:rPr>
              <w:t>1) контроль исполнения предписаний об устранении выявленных грубых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w:t>
            </w:r>
          </w:p>
          <w:p>
            <w:pPr>
              <w:spacing w:after="20"/>
              <w:ind w:left="20"/>
              <w:jc w:val="both"/>
            </w:pPr>
            <w:r>
              <w:rPr>
                <w:rFonts w:ascii="Times New Roman"/>
                <w:b w:val="false"/>
                <w:i w:val="false"/>
                <w:color w:val="000000"/>
                <w:sz w:val="20"/>
              </w:rPr>
              <w:t>2) контроль исполнения предписаний об устранении выявленных значительных и незначительных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 в случаях, если субъект контроля и надзора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3) обращения физических и юридических лиц по нарушениям требований законодательства Республики Казахстан при наличии убедительных оснований и подтверждающих доказательств;</w:t>
            </w:r>
          </w:p>
          <w:p>
            <w:pPr>
              <w:spacing w:after="20"/>
              <w:ind w:left="20"/>
              <w:jc w:val="both"/>
            </w:pPr>
            <w:r>
              <w:rPr>
                <w:rFonts w:ascii="Times New Roman"/>
                <w:b w:val="false"/>
                <w:i w:val="false"/>
                <w:color w:val="000000"/>
                <w:sz w:val="20"/>
              </w:rPr>
              <w:t>4)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5)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6) повторная проверка, связанная с обращением субъекта контроля и надзора о несогласии с первоначальной проверкой (неправомерность применения мер оперативного реагирования);</w:t>
            </w:r>
          </w:p>
          <w:p>
            <w:pPr>
              <w:spacing w:after="20"/>
              <w:ind w:left="20"/>
              <w:jc w:val="both"/>
            </w:pPr>
            <w:r>
              <w:rPr>
                <w:rFonts w:ascii="Times New Roman"/>
                <w:b w:val="false"/>
                <w:i w:val="false"/>
                <w:color w:val="000000"/>
                <w:sz w:val="20"/>
              </w:rPr>
              <w:t xml:space="preserve">7) поручение органа уголовного преследования по основаниям, предусмотренным </w:t>
            </w:r>
            <w:r>
              <w:rPr>
                <w:rFonts w:ascii="Times New Roman"/>
                <w:b w:val="false"/>
                <w:i w:val="false"/>
                <w:color w:val="000000"/>
                <w:sz w:val="20"/>
              </w:rPr>
              <w:t>Уголовно-процессуальным кодексом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xml:space="preserve">8) обращения налогоплательщика, сведения и вопросы, определенные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расследования по следующим основаниям:</w:t>
            </w:r>
          </w:p>
          <w:p>
            <w:pPr>
              <w:spacing w:after="20"/>
              <w:ind w:left="20"/>
              <w:jc w:val="both"/>
            </w:pPr>
            <w:r>
              <w:rPr>
                <w:rFonts w:ascii="Times New Roman"/>
                <w:b w:val="false"/>
                <w:i w:val="false"/>
                <w:color w:val="000000"/>
                <w:sz w:val="20"/>
              </w:rPr>
              <w:t>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в случаях, когда такой факт коснулся широкого круга лиц и требуется установить конкретный субъект (объект) контроля и надзора, допустивший нарушения;</w:t>
            </w:r>
          </w:p>
          <w:p>
            <w:pPr>
              <w:spacing w:after="20"/>
              <w:ind w:left="20"/>
              <w:jc w:val="both"/>
            </w:pPr>
            <w:r>
              <w:rPr>
                <w:rFonts w:ascii="Times New Roman"/>
                <w:b w:val="false"/>
                <w:i w:val="false"/>
                <w:color w:val="000000"/>
                <w:sz w:val="20"/>
              </w:rPr>
              <w:t xml:space="preserve">2) информация (экстренное извещение) о наступлении смерти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3) информация (экстренное извещение), подаваемая государственными органами или субъектами деятельности, о возникновении и распространении эпидемии, фальсифицированных и незарегистрированных пестицидов, ветеринарных препаратов, кормовых добавок, очагов карантинных объектов и особо опасных вредных организмов, инфекционных, паразитарных заболеваний, отравлений, радиационных аварий;</w:t>
            </w:r>
          </w:p>
          <w:p>
            <w:pPr>
              <w:spacing w:after="20"/>
              <w:ind w:left="20"/>
              <w:jc w:val="both"/>
            </w:pPr>
            <w:r>
              <w:rPr>
                <w:rFonts w:ascii="Times New Roman"/>
                <w:b w:val="false"/>
                <w:i w:val="false"/>
                <w:color w:val="000000"/>
                <w:sz w:val="20"/>
              </w:rPr>
              <w:t>4) случаи повреждения здоровья работников, связанные с их трудовой деятельностью и приведшие к нетрудоспособности либо смерти;</w:t>
            </w:r>
          </w:p>
          <w:p>
            <w:pPr>
              <w:spacing w:after="20"/>
              <w:ind w:left="20"/>
              <w:jc w:val="both"/>
            </w:pPr>
            <w:r>
              <w:rPr>
                <w:rFonts w:ascii="Times New Roman"/>
                <w:b w:val="false"/>
                <w:i w:val="false"/>
                <w:color w:val="000000"/>
                <w:sz w:val="20"/>
              </w:rPr>
              <w:t>5) аварии, технологические нарушения или инциденты, по которым возникает необходимость выяснения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в области электроэнергетики, определение мероприятий по ликвидации последствий и предотвращению подобных аварий, технологических нарушений или инцидентов, материального ущерба, причиненного аварией, технологическим нарушением или инцидентом;</w:t>
            </w:r>
          </w:p>
          <w:p>
            <w:pPr>
              <w:spacing w:after="20"/>
              <w:ind w:left="20"/>
              <w:jc w:val="both"/>
            </w:pPr>
            <w:r>
              <w:rPr>
                <w:rFonts w:ascii="Times New Roman"/>
                <w:b w:val="false"/>
                <w:i w:val="false"/>
                <w:color w:val="000000"/>
                <w:sz w:val="20"/>
              </w:rPr>
              <w:t>6) результаты исследования продукции по итогам контрольного закупа в случае выявления нарушения требований, установленных нормативными правовыми актами и (или) нормативными техническими документами, представляющего опасность для жизни, здоровья человека и среды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контрольного закупа в порядке, определенном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профилактического контроля с посещением субъектов (объектов) государственного контроля и надзора без проведения профилактического контроля без посещения субъектов (объектов) государственного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минимально допустимого порога количества субъектов (объектов) контроля и надзора (пяти процентов от общего количества субъектов (объектов) контроля и надзора), в отношении которых осуществляется профилактический контроль с посещением субъекта (объекта) контроля и надзора и (или) проверка при отсутствии информационной системы оценки и управления рисками.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кратности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субъектов (объектов) контроля и надзора с применением информационной системы с высокой степени риска в среднюю степень риска или со средней степени риска в низкую степень риска в случаях:</w:t>
            </w:r>
          </w:p>
          <w:p>
            <w:pPr>
              <w:spacing w:after="20"/>
              <w:ind w:left="20"/>
              <w:jc w:val="both"/>
            </w:pPr>
            <w:r>
              <w:rPr>
                <w:rFonts w:ascii="Times New Roman"/>
                <w:b w:val="false"/>
                <w:i w:val="false"/>
                <w:color w:val="000000"/>
                <w:sz w:val="20"/>
              </w:rPr>
              <w:t>1) если такие субъекты заключили договоры страхования гражданско-правовой ответственности перед третьими лицами в случаях и порядке, которые установлены законами Республики Казахстан;</w:t>
            </w:r>
          </w:p>
          <w:p>
            <w:pPr>
              <w:spacing w:after="20"/>
              <w:ind w:left="20"/>
              <w:jc w:val="both"/>
            </w:pPr>
            <w:r>
              <w:rPr>
                <w:rFonts w:ascii="Times New Roman"/>
                <w:b w:val="false"/>
                <w:i w:val="false"/>
                <w:color w:val="000000"/>
                <w:sz w:val="20"/>
              </w:rPr>
              <w:t>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 или проведения проверок;</w:t>
            </w:r>
          </w:p>
          <w:p>
            <w:pPr>
              <w:spacing w:after="20"/>
              <w:ind w:left="20"/>
              <w:jc w:val="both"/>
            </w:pPr>
            <w:r>
              <w:rPr>
                <w:rFonts w:ascii="Times New Roman"/>
                <w:b w:val="false"/>
                <w:i w:val="false"/>
                <w:color w:val="000000"/>
                <w:sz w:val="20"/>
              </w:rPr>
              <w:t xml:space="preserve">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подзаконных нормативных правовых актов по вопросам порядка проведения государственного контроля и надзора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мер оперативного реагирования в случаях, если в законах Республики Казахстан отсутствует порядок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внеплановой проверки по исполнению предписания об устранении выявленного нарушения по итогам внеплановой проверки, в случае непредоставления информации об исполнении предписания об устранении выявленных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в установленное режиму работы субъекта частного предпринимательства, за исключением внеплановых проверок, которые проводятся во внеурочное время (ночное время, выходные или праздничные дни) в силу необходимости пресечения нарушений непосредственно в момент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государственного контроля и надзора в отношении субъектов малого предпринимательства, в том числе микропредпринимательства, в течение трех лет со дня их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внеплановых проверок.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(объектов) частного предпринимательства, которые не могли являться основанием для назначения внеплановой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на основании акта органа контроля и надзора о назначении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 назначении профилактического контроля с посещением субъекта (объекта) контроля и надзора и (или) проверки следующей информации:</w:t>
            </w:r>
          </w:p>
          <w:p>
            <w:pPr>
              <w:spacing w:after="20"/>
              <w:ind w:left="20"/>
              <w:jc w:val="both"/>
            </w:pP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(уполномоченных) на проведение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сведения о специалистах, консультантах и экспертах, привлекаемых для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с посещением субъекта (объекта) контроля и надзора и (или)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6) предмет назначенного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срок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8) основания проведения профилактического контроля с посещением субъекта (объекта) контроля и надзора и (или) проверки, в том числе нормативные правовые акты, обязательные требования которых подлежат профилактическому контролю с посещением субъекта (объекта) контроля и надзора и (или) проверке;</w:t>
            </w:r>
          </w:p>
          <w:p>
            <w:pPr>
              <w:spacing w:after="20"/>
              <w:ind w:left="20"/>
              <w:jc w:val="both"/>
            </w:pPr>
            <w:r>
              <w:rPr>
                <w:rFonts w:ascii="Times New Roman"/>
                <w:b w:val="false"/>
                <w:i w:val="false"/>
                <w:color w:val="000000"/>
                <w:sz w:val="20"/>
              </w:rPr>
              <w:t>9)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10) права и обязанности субъекта контроля и надзора;</w:t>
            </w:r>
          </w:p>
          <w:p>
            <w:pPr>
              <w:spacing w:after="20"/>
              <w:ind w:left="20"/>
              <w:jc w:val="both"/>
            </w:pPr>
            <w:r>
              <w:rPr>
                <w:rFonts w:ascii="Times New Roman"/>
                <w:b w:val="false"/>
                <w:i w:val="false"/>
                <w:color w:val="000000"/>
                <w:sz w:val="20"/>
              </w:rPr>
              <w:t>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12) подпись руководителя юридического лица либо его уполномоченного лица, физического лица о получении или отказе в получении акта о назначении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 контроля и надзора (руководителя юридического лица либо его уполномоченное лицо, физическое лицо) о начале проведения профилактического контроля с посещением субъекта (объекта) контроля и надзора не менее чем за тридцать календарных дней до его начала с указанием 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 контроля и надзора о начале проведения внеплановой проверки субъекта (объекта) контроля и надзора не менее чем за сутки до ее начала с указанием предмета проведения проверки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об административном правонарушении в случаях отказа в принятии акта о назначении профилактического контроля с посещением субъекта (объекта) контроля и надзора и (или) проверки, ознакомлении с проверочным листом, а также воспрепятствования доступу должностного лица органа, осуществляющего профилактический контроль с посещением субъекта (объекта) контроля и надзора и (или) проверку, к материалам, необходимым для проведения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профилактический контроль с посещением субъекта (объекта) контроля и надзора и (или) проверку, до начала участия в профилактическом контроле с посещением субъекта (объекта) контроля и надзора и (или) проверке лиц, не указанных в акте о назначении профилактического контроля с посещением субъекта (объекта) контроля и надзора и (или) проверки, с указанием причины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с учетом объема предстоящих работ, а также поставленных задач:</w:t>
            </w:r>
          </w:p>
          <w:p>
            <w:pPr>
              <w:spacing w:after="20"/>
              <w:ind w:left="20"/>
              <w:jc w:val="both"/>
            </w:pP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при проведении профилактического контроля с посещением субъекта (объекта) контроля и надзора и (или) проверки на соответствие требованиям – не более пятнадцати рабочих дней и с продлением на срок не более пятнадцати рабочих дней;</w:t>
            </w:r>
          </w:p>
          <w:p>
            <w:pPr>
              <w:spacing w:after="20"/>
              <w:ind w:left="20"/>
              <w:jc w:val="both"/>
            </w:pPr>
            <w:r>
              <w:rPr>
                <w:rFonts w:ascii="Times New Roman"/>
                <w:b w:val="false"/>
                <w:i w:val="false"/>
                <w:color w:val="000000"/>
                <w:sz w:val="20"/>
              </w:rPr>
              <w:t>при проведении внеплановых проверок – не более десяти рабочих дней и с продлением до десяти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профилактического контроля с посещением субъекта (объекта) контроля и надзора и (или) проверки только один раз, руководителем органа контроля и надзора (либо лицом, исполняющим его обязанности) в случаях необходимости:</w:t>
            </w:r>
          </w:p>
          <w:p>
            <w:pPr>
              <w:spacing w:after="20"/>
              <w:ind w:left="20"/>
              <w:jc w:val="both"/>
            </w:pPr>
            <w:r>
              <w:rPr>
                <w:rFonts w:ascii="Times New Roman"/>
                <w:b w:val="false"/>
                <w:i w:val="false"/>
                <w:color w:val="000000"/>
                <w:sz w:val="20"/>
              </w:rPr>
              <w:t>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2) установления местонахождения лица, в отношении которого проводятся профилактический контроль с посещением субъекта (объекта) контроля и надзора и (или) проверка;</w:t>
            </w:r>
          </w:p>
          <w:p>
            <w:pPr>
              <w:spacing w:after="20"/>
              <w:ind w:left="20"/>
              <w:jc w:val="both"/>
            </w:pPr>
            <w:r>
              <w:rPr>
                <w:rFonts w:ascii="Times New Roman"/>
                <w:b w:val="false"/>
                <w:i w:val="false"/>
                <w:color w:val="000000"/>
                <w:sz w:val="20"/>
              </w:rPr>
              <w:t>3) получения результатов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сроков профилактического контроля с посещением субъекта (объекта) контроля и надзора и (или)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профилактического контроля с посещением субъекта (объекта) контроля и надзора и (или) проверки и причина продления в случае продления сроков профилактического контроля с посещением субъекта (объекта) контроля и надзора и (или) проверки и причины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субъекта (объекта) контроля и надзора о продлении сроков профилактического контроля с посещением субъекта (объекта) контроля и надзора и (или) проверки за один рабочий день до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субъекта контроля и надзора и уполномоченного лица субъекта контроля и надзора, удостоверенного актом отбора образцов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w:t>
            </w:r>
          </w:p>
          <w:p>
            <w:pPr>
              <w:spacing w:after="20"/>
              <w:ind w:left="20"/>
              <w:jc w:val="both"/>
            </w:pPr>
            <w:r>
              <w:rPr>
                <w:rFonts w:ascii="Times New Roman"/>
                <w:b w:val="false"/>
                <w:i w:val="false"/>
                <w:color w:val="000000"/>
                <w:sz w:val="20"/>
              </w:rPr>
              <w:t>1) место и дата составления;</w:t>
            </w:r>
          </w:p>
          <w:p>
            <w:pPr>
              <w:spacing w:after="20"/>
              <w:ind w:left="20"/>
              <w:jc w:val="both"/>
            </w:pPr>
            <w:r>
              <w:rPr>
                <w:rFonts w:ascii="Times New Roman"/>
                <w:b w:val="false"/>
                <w:i w:val="false"/>
                <w:color w:val="000000"/>
                <w:sz w:val="20"/>
              </w:rPr>
              <w:t>2) номер и дата решения руководителя органа контроля и надзора, на основании которого осуществляется отбор образцов продукции;</w:t>
            </w:r>
          </w:p>
          <w:p>
            <w:pPr>
              <w:spacing w:after="20"/>
              <w:ind w:left="20"/>
              <w:jc w:val="both"/>
            </w:pPr>
            <w:r>
              <w:rPr>
                <w:rFonts w:ascii="Times New Roman"/>
                <w:b w:val="false"/>
                <w:i w:val="false"/>
                <w:color w:val="000000"/>
                <w:sz w:val="20"/>
              </w:rPr>
              <w:t>3) должности, фамилии, имена и отчества (если они указаны в документах, удостоверяющих личность) должностных лиц органа контроля и надзора, осуществляющих отбор образцов продукции;</w:t>
            </w:r>
          </w:p>
          <w:p>
            <w:pPr>
              <w:spacing w:after="20"/>
              <w:ind w:left="20"/>
              <w:jc w:val="both"/>
            </w:pPr>
            <w:r>
              <w:rPr>
                <w:rFonts w:ascii="Times New Roman"/>
                <w:b w:val="false"/>
                <w:i w:val="false"/>
                <w:color w:val="000000"/>
                <w:sz w:val="20"/>
              </w:rPr>
              <w:t>4) наименование и место нахождения субъекта (объекта) контроля и надзора, у которого производится отбор образцов продукции;</w:t>
            </w:r>
          </w:p>
          <w:p>
            <w:pPr>
              <w:spacing w:after="20"/>
              <w:ind w:left="20"/>
              <w:jc w:val="both"/>
            </w:pPr>
            <w:r>
              <w:rPr>
                <w:rFonts w:ascii="Times New Roman"/>
                <w:b w:val="false"/>
                <w:i w:val="false"/>
                <w:color w:val="000000"/>
                <w:sz w:val="20"/>
              </w:rPr>
              <w:t>5) должность и фамилия, имя, отчество (если оно указано в документе, удостоверяющем личность) руководителя или представителя субъекта контроля и надзора и уполномоченного лица субъекта контроля и надзора;</w:t>
            </w:r>
          </w:p>
          <w:p>
            <w:pPr>
              <w:spacing w:after="20"/>
              <w:ind w:left="20"/>
              <w:jc w:val="both"/>
            </w:pPr>
            <w:r>
              <w:rPr>
                <w:rFonts w:ascii="Times New Roman"/>
                <w:b w:val="false"/>
                <w:i w:val="false"/>
                <w:color w:val="000000"/>
                <w:sz w:val="20"/>
              </w:rPr>
              <w:t>6) перечень и количество отобранных образцов продукции с указанием производителя, даты производства, серии (номера) партии, общей стоимости образцов;</w:t>
            </w:r>
          </w:p>
          <w:p>
            <w:pPr>
              <w:spacing w:after="20"/>
              <w:ind w:left="20"/>
              <w:jc w:val="both"/>
            </w:pPr>
            <w:r>
              <w:rPr>
                <w:rFonts w:ascii="Times New Roman"/>
                <w:b w:val="false"/>
                <w:i w:val="false"/>
                <w:color w:val="000000"/>
                <w:sz w:val="20"/>
              </w:rPr>
              <w:t>7) вид упаковки и номер печати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данные должностные лица;</w:t>
            </w:r>
          </w:p>
          <w:p>
            <w:pPr>
              <w:spacing w:after="20"/>
              <w:ind w:left="20"/>
              <w:jc w:val="both"/>
            </w:pP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профилактического контроля с посещением субъекта (объекта) контроля и надзора и (или) проверки или не относятся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акта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4) разглашать и (или) распространять информацию, полученную в результате проведения профилактического контроля с посещением субъекта (объекта) контроля и надзора и (или)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p>
            <w:pPr>
              <w:spacing w:after="20"/>
              <w:ind w:left="20"/>
              <w:jc w:val="both"/>
            </w:pPr>
            <w:r>
              <w:rPr>
                <w:rFonts w:ascii="Times New Roman"/>
                <w:b w:val="false"/>
                <w:i w:val="false"/>
                <w:color w:val="000000"/>
                <w:sz w:val="20"/>
              </w:rPr>
              <w:t>5) превышать установленные сроки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проводить профилактический контроль с посещением субъекта (объекта) контроля и надзора и (или) проверку субъекта (объекта) контроля и надзора, в отношении которого ранее проводились профилактический контроль с посещением субъекта (объекта) контроля и надзора и (или) проверки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7) проводить мероприятия, носящие затратный характер, в целях проведения профилактического контроля с посещением субъекта (объекта) контроля и надзора и (или) проверки за счет субъектов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о результатах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дата и номер акта о назначении профилактического контроля с посещением субъекта (объекта) контроля и надзора и (или) проверки (дополнительного акта о продлении срока при его наличии), на основании которого проведены профилактический контроль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сведения о результатах профилактического контроля с посещением субъекта (объекта) контроля и надзора и (или) проверки, в том числе о выявленных нарушениях, их характере;</w:t>
            </w:r>
          </w:p>
          <w:p>
            <w:pPr>
              <w:spacing w:after="20"/>
              <w:ind w:left="20"/>
              <w:jc w:val="both"/>
            </w:pP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9) сведения об ознакомлении или отказе в ознакомлении с актом о результатах профилактического контроля с посещением субъекта (объекта) контроля и надзора и (или) проверки представителей субъекта контроля и надзора, а также лиц, присутствовавших при проведении профилактического контроля с посещением субъекта (объекта) контроля и надзора и (или) проверки, их подписи или отказ от подписи;</w:t>
            </w:r>
          </w:p>
          <w:p>
            <w:pPr>
              <w:spacing w:after="20"/>
              <w:ind w:left="20"/>
              <w:jc w:val="both"/>
            </w:pPr>
            <w:r>
              <w:rPr>
                <w:rFonts w:ascii="Times New Roman"/>
                <w:b w:val="false"/>
                <w:i w:val="false"/>
                <w:color w:val="000000"/>
                <w:sz w:val="20"/>
              </w:rPr>
              <w:t>10)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перечень выявленных нарушений в соответствии с пунктами требований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7) указания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профилактическом контроле с посещением субъекта (объекта) контроля и надзора и (или) проверке, их подписи или отказ от подписи;</w:t>
            </w:r>
          </w:p>
          <w:p>
            <w:pPr>
              <w:spacing w:after="20"/>
              <w:ind w:left="20"/>
              <w:jc w:val="both"/>
            </w:pPr>
            <w:r>
              <w:rPr>
                <w:rFonts w:ascii="Times New Roman"/>
                <w:b w:val="false"/>
                <w:i w:val="false"/>
                <w:color w:val="000000"/>
                <w:sz w:val="20"/>
              </w:rPr>
              <w:t>9)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Неназначение органами контроля и надзора профилактического контроля с посещением субъекта (объекта) контроля и надзора и (или) проверки по вопросам, не входящим в их компетенцию.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 о результатах профилактического контроля с посещением субъекта (объекта) контроля и надзора и (или) проверки, в случаях выявления нарушений – предписание об устранении выявленных нарушений по результатам, проведенных профилактического контроля с посещением субъекта (объекта) контроля и надзора и (или) проверки в день их окончания.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соблюдать законодательство Республики Казахстан, права и законные интересы субъектов контроля и надзора;</w:t>
            </w:r>
          </w:p>
          <w:p>
            <w:pPr>
              <w:spacing w:after="20"/>
              <w:ind w:left="20"/>
              <w:jc w:val="both"/>
            </w:pPr>
            <w:r>
              <w:rPr>
                <w:rFonts w:ascii="Times New Roman"/>
                <w:b w:val="false"/>
                <w:i w:val="false"/>
                <w:color w:val="000000"/>
                <w:sz w:val="20"/>
              </w:rPr>
              <w:t>2) проводить профилактический контроль с посещением субъекта (объекта) контроля и надзора и (или) проверку на основании и в строгом соответствии с порядком, установленным Предпринимательским Кодексом Республики Казахстан и (или) иными законами Республики Казахстан;</w:t>
            </w:r>
          </w:p>
          <w:p>
            <w:pPr>
              <w:spacing w:after="20"/>
              <w:ind w:left="20"/>
              <w:jc w:val="both"/>
            </w:pP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5) не препятствовать субъекту контроля и надзора либо его уполномоченному представителю присутствовать при проведении профилактического контроля с посещением субъекта (объекта) контроля и надзора и (или) проверки, давать разъяснения по вопросам, относящимся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предоставлять субъекту контроля и надзора необходимую информацию, относящуюся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обеспечить сохранность документов и сведений, полученных в результате проведения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профилактического контроля с посещением субъекта (объекта) контроля и надзора и (или) проверки субъектов малого предпринимательства, в том числе субъектов микропредпринимательства.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ежегодного Единого дня отчета в порядке, определяемом уполномоченным органом по предпринимательству.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соответствия требованиям, установленным нормативными правовыми актами.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p>
            <w:pPr>
              <w:spacing w:after="20"/>
              <w:ind w:left="20"/>
              <w:jc w:val="both"/>
            </w:pPr>
            <w:r>
              <w:rPr>
                <w:rFonts w:ascii="Times New Roman"/>
                <w:b w:val="false"/>
                <w:i w:val="false"/>
                <w:color w:val="000000"/>
                <w:sz w:val="20"/>
              </w:rPr>
              <w:t>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субъектами (объектами) контроля и надзора требований по срокам действия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p>
            <w:pPr>
              <w:spacing w:after="20"/>
              <w:ind w:left="20"/>
              <w:jc w:val="both"/>
            </w:pPr>
            <w:r>
              <w:rPr>
                <w:rFonts w:ascii="Times New Roman"/>
                <w:b w:val="false"/>
                <w:i w:val="false"/>
                <w:color w:val="000000"/>
                <w:sz w:val="20"/>
              </w:rPr>
              <w:t>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p>
            <w:pPr>
              <w:spacing w:after="20"/>
              <w:ind w:left="20"/>
              <w:jc w:val="both"/>
            </w:pPr>
            <w:r>
              <w:rPr>
                <w:rFonts w:ascii="Times New Roman"/>
                <w:b w:val="false"/>
                <w:i w:val="false"/>
                <w:color w:val="000000"/>
                <w:sz w:val="20"/>
              </w:rPr>
              <w:t>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3) заявитель не соответствует квалификационным требованиям;</w:t>
            </w:r>
          </w:p>
          <w:p>
            <w:pPr>
              <w:spacing w:after="20"/>
              <w:ind w:left="20"/>
              <w:jc w:val="both"/>
            </w:pP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p>
            <w:pPr>
              <w:spacing w:after="20"/>
              <w:ind w:left="20"/>
              <w:jc w:val="both"/>
            </w:pP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xml:space="preserve">3) реорганизации юридического лица-лицензиата в соответствии с порядком, определенным в соответствии с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xml:space="preserve">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0"/>
              </w:rPr>
              <w:t>приложением 1</w:t>
            </w:r>
            <w:r>
              <w:rPr>
                <w:rFonts w:ascii="Times New Roman"/>
                <w:b w:val="false"/>
                <w:i w:val="false"/>
                <w:color w:val="000000"/>
                <w:sz w:val="20"/>
              </w:rPr>
              <w:t xml:space="preserve"> к Закону;</w:t>
            </w:r>
          </w:p>
          <w:p>
            <w:pPr>
              <w:spacing w:after="20"/>
              <w:ind w:left="20"/>
              <w:jc w:val="both"/>
            </w:pPr>
            <w:r>
              <w:rPr>
                <w:rFonts w:ascii="Times New Roman"/>
                <w:b w:val="false"/>
                <w:i w:val="false"/>
                <w:color w:val="000000"/>
                <w:sz w:val="20"/>
              </w:rPr>
              <w:t>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7) наличия требования о переоформлении в законах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p>
            <w:pPr>
              <w:spacing w:after="20"/>
              <w:ind w:left="20"/>
              <w:jc w:val="both"/>
            </w:pP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p>
            <w:pPr>
              <w:spacing w:after="20"/>
              <w:ind w:left="20"/>
              <w:jc w:val="both"/>
            </w:pP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p>
            <w:pPr>
              <w:spacing w:after="20"/>
              <w:ind w:left="20"/>
              <w:jc w:val="both"/>
            </w:pPr>
            <w:r>
              <w:rPr>
                <w:rFonts w:ascii="Times New Roman"/>
                <w:b w:val="false"/>
                <w:i w:val="false"/>
                <w:color w:val="000000"/>
                <w:sz w:val="20"/>
              </w:rPr>
              <w:t>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p>
            <w:pPr>
              <w:spacing w:after="20"/>
              <w:ind w:left="20"/>
              <w:jc w:val="both"/>
            </w:pPr>
            <w:r>
              <w:rPr>
                <w:rFonts w:ascii="Times New Roman"/>
                <w:b w:val="false"/>
                <w:i w:val="false"/>
                <w:color w:val="000000"/>
                <w:sz w:val="20"/>
              </w:rPr>
              <w:t>1) непредставления или ненадлежащего оформления документов;</w:t>
            </w:r>
          </w:p>
          <w:p>
            <w:pPr>
              <w:spacing w:after="20"/>
              <w:ind w:left="20"/>
              <w:jc w:val="both"/>
            </w:pPr>
            <w:r>
              <w:rPr>
                <w:rFonts w:ascii="Times New Roman"/>
                <w:b w:val="false"/>
                <w:i w:val="false"/>
                <w:color w:val="000000"/>
                <w:sz w:val="20"/>
              </w:rPr>
              <w:t>2) несоответствия заявителя квалификационным требованиям;</w:t>
            </w:r>
          </w:p>
          <w:p>
            <w:pPr>
              <w:spacing w:after="20"/>
              <w:ind w:left="20"/>
              <w:jc w:val="both"/>
            </w:pPr>
            <w:r>
              <w:rPr>
                <w:rFonts w:ascii="Times New Roman"/>
                <w:b w:val="false"/>
                <w:i w:val="false"/>
                <w:color w:val="000000"/>
                <w:sz w:val="20"/>
              </w:rPr>
              <w:t>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p>
            <w:pPr>
              <w:spacing w:after="20"/>
              <w:ind w:left="20"/>
              <w:jc w:val="both"/>
            </w:pPr>
            <w:r>
              <w:rPr>
                <w:rFonts w:ascii="Times New Roman"/>
                <w:b w:val="false"/>
                <w:i w:val="false"/>
                <w:color w:val="000000"/>
                <w:sz w:val="20"/>
              </w:rPr>
              <w:t>1) истечения срока, на который они выданы;</w:t>
            </w:r>
          </w:p>
          <w:p>
            <w:pPr>
              <w:spacing w:after="20"/>
              <w:ind w:left="20"/>
              <w:jc w:val="both"/>
            </w:pPr>
            <w:r>
              <w:rPr>
                <w:rFonts w:ascii="Times New Roman"/>
                <w:b w:val="false"/>
                <w:i w:val="false"/>
                <w:color w:val="000000"/>
                <w:sz w:val="20"/>
              </w:rPr>
              <w:t>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3) лишения (отзыва) лицензии и (или) приложения к лицензии;</w:t>
            </w:r>
          </w:p>
          <w:p>
            <w:pPr>
              <w:spacing w:after="20"/>
              <w:ind w:left="20"/>
              <w:jc w:val="both"/>
            </w:pPr>
            <w:r>
              <w:rPr>
                <w:rFonts w:ascii="Times New Roman"/>
                <w:b w:val="false"/>
                <w:i w:val="false"/>
                <w:color w:val="000000"/>
                <w:sz w:val="20"/>
              </w:rPr>
              <w:t>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xml:space="preserve">6)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0"/>
              </w:rPr>
              <w:t>приложения 1</w:t>
            </w:r>
            <w:r>
              <w:rPr>
                <w:rFonts w:ascii="Times New Roman"/>
                <w:b w:val="false"/>
                <w:i w:val="false"/>
                <w:color w:val="000000"/>
                <w:sz w:val="20"/>
              </w:rPr>
              <w:t xml:space="preserve"> к Закону;</w:t>
            </w:r>
          </w:p>
          <w:p>
            <w:pPr>
              <w:spacing w:after="20"/>
              <w:ind w:left="20"/>
              <w:jc w:val="both"/>
            </w:pPr>
            <w:r>
              <w:rPr>
                <w:rFonts w:ascii="Times New Roman"/>
                <w:b w:val="false"/>
                <w:i w:val="false"/>
                <w:color w:val="000000"/>
                <w:sz w:val="20"/>
              </w:rPr>
              <w:t>7) исключения лицензиата из числа лиц, подлежащих лицензированию.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 с указанием причины отказа.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приостановления действия разрешения и (или) приложения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лишения (отзыва)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63</w:t>
            </w:r>
          </w:p>
        </w:tc>
      </w:tr>
    </w:tbl>
    <w:bookmarkStart w:name="z203" w:id="70"/>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государственных органов, осуществляющих контроль в сферах деятельности субъектов предпринимательства</w:t>
      </w:r>
    </w:p>
    <w:bookmarkEnd w:id="70"/>
    <w:p>
      <w:pPr>
        <w:spacing w:after="0"/>
        <w:ind w:left="0"/>
        <w:jc w:val="both"/>
      </w:pPr>
      <w:r>
        <w:rPr>
          <w:rFonts w:ascii="Times New Roman"/>
          <w:b w:val="false"/>
          <w:i w:val="false"/>
          <w:color w:val="ff0000"/>
          <w:sz w:val="28"/>
        </w:rPr>
        <w:t xml:space="preserve">
      Сноска. Проверочный лист - в редакции приказа Заместителя Премьер-Министра - Министра национальной экономики РК от 18.03.2024 </w:t>
      </w:r>
      <w:r>
        <w:rPr>
          <w:rFonts w:ascii="Times New Roman"/>
          <w:b w:val="false"/>
          <w:i w:val="false"/>
          <w:color w:val="ff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и проверочных листов, применяемые для проведения профилактического контроля с посещением субъекта (объекта) контроля и надзора и (или) проверок на соответствие требованиям, утвержденных совместным актом регулирующего государственного органа, уполномоченного органа по предпринимательству и размещенных на интернет-ресурсах регулирующего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касающиеся критериев оценки степени риска для отбора субъектов (объектов) контроля и надзора, проверочных листов, которые размещаются на интернет-ресурсах регулирующих государственных органов и иных цифровых платформах.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без посещения субъекта (объекта) контроля и надзора на основании анализа отчетности, представляемой субъектами частного предпринимательства, сведений уполномоченных государственных органов, а также полученных из государственных информационных систем и электронных информационных ресурсов, и других документов и сведений о деятельности субъекта (объекта)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p>
            <w:pPr>
              <w:spacing w:after="20"/>
              <w:ind w:left="20"/>
              <w:jc w:val="both"/>
            </w:pPr>
            <w:r>
              <w:rPr>
                <w:rFonts w:ascii="Times New Roman"/>
                <w:b w:val="false"/>
                <w:i w:val="false"/>
                <w:color w:val="000000"/>
                <w:sz w:val="20"/>
              </w:rPr>
              <w:t>1) контроль исполнения предписаний об устранении выявленных грубых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w:t>
            </w:r>
          </w:p>
          <w:p>
            <w:pPr>
              <w:spacing w:after="20"/>
              <w:ind w:left="20"/>
              <w:jc w:val="both"/>
            </w:pPr>
            <w:r>
              <w:rPr>
                <w:rFonts w:ascii="Times New Roman"/>
                <w:b w:val="false"/>
                <w:i w:val="false"/>
                <w:color w:val="000000"/>
                <w:sz w:val="20"/>
              </w:rPr>
              <w:t>2) контроль исполнения предписаний об устранении выявленных значительных и незначительных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 в случаях, если субъект контроля и надзора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3) обращения физических и юридических лиц по нарушениям требований законодательства Республики Казахстан при наличии убедительных оснований и подтверждающих доказательств;</w:t>
            </w:r>
          </w:p>
          <w:p>
            <w:pPr>
              <w:spacing w:after="20"/>
              <w:ind w:left="20"/>
              <w:jc w:val="both"/>
            </w:pPr>
            <w:r>
              <w:rPr>
                <w:rFonts w:ascii="Times New Roman"/>
                <w:b w:val="false"/>
                <w:i w:val="false"/>
                <w:color w:val="000000"/>
                <w:sz w:val="20"/>
              </w:rPr>
              <w:t>4)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5)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6) повторная проверка, связанная с обращением субъекта контроля и надзора о несогласии с первоначальной проверкой (неправомерность применения мер оперативного реагирования);</w:t>
            </w:r>
          </w:p>
          <w:p>
            <w:pPr>
              <w:spacing w:after="20"/>
              <w:ind w:left="20"/>
              <w:jc w:val="both"/>
            </w:pPr>
            <w:r>
              <w:rPr>
                <w:rFonts w:ascii="Times New Roman"/>
                <w:b w:val="false"/>
                <w:i w:val="false"/>
                <w:color w:val="000000"/>
                <w:sz w:val="20"/>
              </w:rPr>
              <w:t>7)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xml:space="preserve">8) обращения налогоплательщика, сведения и вопросы, определенные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расследования по следующим основаниям:</w:t>
            </w:r>
          </w:p>
          <w:p>
            <w:pPr>
              <w:spacing w:after="20"/>
              <w:ind w:left="20"/>
              <w:jc w:val="both"/>
            </w:pPr>
            <w:r>
              <w:rPr>
                <w:rFonts w:ascii="Times New Roman"/>
                <w:b w:val="false"/>
                <w:i w:val="false"/>
                <w:color w:val="000000"/>
                <w:sz w:val="20"/>
              </w:rPr>
              <w:t>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в случаях, когда такой факт коснулся широкого круга лиц и требуется установить конкретный субъект (объект) контроля и надзора, допустивший нарушения;</w:t>
            </w:r>
          </w:p>
          <w:p>
            <w:pPr>
              <w:spacing w:after="20"/>
              <w:ind w:left="20"/>
              <w:jc w:val="both"/>
            </w:pPr>
            <w:r>
              <w:rPr>
                <w:rFonts w:ascii="Times New Roman"/>
                <w:b w:val="false"/>
                <w:i w:val="false"/>
                <w:color w:val="000000"/>
                <w:sz w:val="20"/>
              </w:rPr>
              <w:t xml:space="preserve">2) информация (экстренное извещение) о наступлении смерти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3) информация (экстренное извещение), подаваемая государственными органами или субъектами деятельности, о возникновении и распространении эпидемии, фальсифицированных и незарегистрированных пестицидов, ветеринарных препаратов, кормовых добавок, очагов карантинных объектов и особо опасных вредных организмов, инфекционных, паразитарных заболеваний, отравлений, радиационных аварий;</w:t>
            </w:r>
          </w:p>
          <w:p>
            <w:pPr>
              <w:spacing w:after="20"/>
              <w:ind w:left="20"/>
              <w:jc w:val="both"/>
            </w:pPr>
            <w:r>
              <w:rPr>
                <w:rFonts w:ascii="Times New Roman"/>
                <w:b w:val="false"/>
                <w:i w:val="false"/>
                <w:color w:val="000000"/>
                <w:sz w:val="20"/>
              </w:rPr>
              <w:t>4) случаи повреждения здоровья работников, связанные с их трудовой деятельностью и приведшие к нетрудоспособности либо смерти;</w:t>
            </w:r>
          </w:p>
          <w:p>
            <w:pPr>
              <w:spacing w:after="20"/>
              <w:ind w:left="20"/>
              <w:jc w:val="both"/>
            </w:pPr>
            <w:r>
              <w:rPr>
                <w:rFonts w:ascii="Times New Roman"/>
                <w:b w:val="false"/>
                <w:i w:val="false"/>
                <w:color w:val="000000"/>
                <w:sz w:val="20"/>
              </w:rPr>
              <w:t>5) аварии, технологические нарушения или инциденты, по которым возникает необходимость выяснения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в области электроэнергетики, определение мероприятий по ликвидации последствий и предотвращению подобных аварий, технологических нарушений или инцидентов, материального ущерба, причиненного аварией, технологическим нарушением или инцидентом;</w:t>
            </w:r>
          </w:p>
          <w:p>
            <w:pPr>
              <w:spacing w:after="20"/>
              <w:ind w:left="20"/>
              <w:jc w:val="both"/>
            </w:pPr>
            <w:r>
              <w:rPr>
                <w:rFonts w:ascii="Times New Roman"/>
                <w:b w:val="false"/>
                <w:i w:val="false"/>
                <w:color w:val="000000"/>
                <w:sz w:val="20"/>
              </w:rPr>
              <w:t>6) результаты исследования продукции по итогам контрольного закупа в случае выявления нарушения требований, установленных нормативными правовыми актами и (или) нормативными техническими документами, представляющего опасность для жизни, здоровья человека и среды обитания.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контрольного закупа в порядке, определенном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профилактического контроля с посещением субъектов (объектов) государственного контроля и надзора без проведения профилактического контроля без посещения субъектов (объектов) государственного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минимально допустимого порога количества субъектов (объектов) контроля и надзора (пяти процентов от общего количества субъектов (объектов) контроля и надзора), в отношении которых осуществляется профилактический контроль с посещением субъекта (объекта) контроля и надзора и (или) проверка при отсутствии информационной системы оценки и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кратности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субъектов (объектов) контроля и надзора с применением информационной системы с высокой степени риска в среднюю степень риска или со средней степени риска в низкую степень риска в случаях:</w:t>
            </w:r>
          </w:p>
          <w:p>
            <w:pPr>
              <w:spacing w:after="20"/>
              <w:ind w:left="20"/>
              <w:jc w:val="both"/>
            </w:pPr>
            <w:r>
              <w:rPr>
                <w:rFonts w:ascii="Times New Roman"/>
                <w:b w:val="false"/>
                <w:i w:val="false"/>
                <w:color w:val="000000"/>
                <w:sz w:val="20"/>
              </w:rPr>
              <w:t>1) если такие субъекты заключили договоры страхования гражданско-правовой ответственности перед третьими лицами в случаях и порядке, которые установлены законами Республики Казахстан;</w:t>
            </w:r>
          </w:p>
          <w:p>
            <w:pPr>
              <w:spacing w:after="20"/>
              <w:ind w:left="20"/>
              <w:jc w:val="both"/>
            </w:pPr>
            <w:r>
              <w:rPr>
                <w:rFonts w:ascii="Times New Roman"/>
                <w:b w:val="false"/>
                <w:i w:val="false"/>
                <w:color w:val="000000"/>
                <w:sz w:val="20"/>
              </w:rPr>
              <w:t>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 или проведения проверок;</w:t>
            </w:r>
          </w:p>
          <w:p>
            <w:pPr>
              <w:spacing w:after="20"/>
              <w:ind w:left="20"/>
              <w:jc w:val="both"/>
            </w:pPr>
            <w:r>
              <w:rPr>
                <w:rFonts w:ascii="Times New Roman"/>
                <w:b w:val="false"/>
                <w:i w:val="false"/>
                <w:color w:val="000000"/>
                <w:sz w:val="20"/>
              </w:rPr>
              <w:t xml:space="preserve">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подзаконных нормативных правовых актов по вопросам порядка проведения государственного контроля и надзора субъектов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мер оперативного реагирования в случаях, если в законах Республики Казахстан отсутствует порядок их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внеплановой проверки по исполнению предписания об устранении выявленного нарушения по итогам внеплановой проверки, в случае непредоставления информации об исполнении предписания об устранении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в установленное режиму работы субъекта частного предпринимательства, за исключением внеплановых проверок, которые проводятся во внеурочное время (ночное время, выходные или праздничные дни) в силу необходимости пресечения нарушений непосредственно в момент их совершения.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государственного контроля и надзора в отношении субъектов малого предпринимательства, в том числе микропредпринимательства, в течение трех лет со дня их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внеплановых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(объектов) частного предпринимательства, которые не могли являться основанием для назначения внеплановой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на основании акта органа контроля и надзора о назначении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 назначении профилактического контроля с посещением субъекта (объекта) контроля и надзора и (или) проверки следующей информации:</w:t>
            </w:r>
          </w:p>
          <w:p>
            <w:pPr>
              <w:spacing w:after="20"/>
              <w:ind w:left="20"/>
              <w:jc w:val="both"/>
            </w:pP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(уполномоченных) на проведение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сведения о специалистах, консультантах и экспертах, привлекаемых для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с посещением субъекта (объекта) контроля и надзора и (или)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6) предмет назначенного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срок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8) основания проведения профилактического контроля с посещением субъекта (объекта) контроля и надзора и (или) проверки, в том числе нормативные правовые акты, обязательные требования которых подлежат профилактическому контролю с посещением субъекта (объекта) контроля и надзора и (или) проверке;</w:t>
            </w:r>
          </w:p>
          <w:p>
            <w:pPr>
              <w:spacing w:after="20"/>
              <w:ind w:left="20"/>
              <w:jc w:val="both"/>
            </w:pPr>
            <w:r>
              <w:rPr>
                <w:rFonts w:ascii="Times New Roman"/>
                <w:b w:val="false"/>
                <w:i w:val="false"/>
                <w:color w:val="000000"/>
                <w:sz w:val="20"/>
              </w:rPr>
              <w:t>9)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10) права и обязанности субъекта контроля и надзора;</w:t>
            </w:r>
          </w:p>
          <w:p>
            <w:pPr>
              <w:spacing w:after="20"/>
              <w:ind w:left="20"/>
              <w:jc w:val="both"/>
            </w:pPr>
            <w:r>
              <w:rPr>
                <w:rFonts w:ascii="Times New Roman"/>
                <w:b w:val="false"/>
                <w:i w:val="false"/>
                <w:color w:val="000000"/>
                <w:sz w:val="20"/>
              </w:rPr>
              <w:t>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12) подпись руководителя юридического лица либо его уполномоченного лица, физического лица о получении или отказе в получении акта о назначении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 контроля и надзора (руководителя юридического лица либо его уполномоченное лицо, физическое лицо) о начале проведения профилактического контроля с посещением субъекта (объекта) контроля и надзора не менее чем за тридцать календарных дней до его начала с указанием 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 контроля и надзора о начале проведения внеплановой проверки субъекта (объекта) контроля и надзора не менее чем за сутки до ее начала с указанием предмета проведения проверки субъекта (объекта)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об административном правонарушении в случаях отказа в принятии акта о назначении профилактического контроля с посещением субъекта (объекта) контроля и надзора и (или) проверки, ознакомлении с проверочным листом, а также воспрепятствования доступу должностного лица органа, осуществляющего профилактический контроль с посещением субъекта (объекта) контроля и надзора и (или) проверку, к материалам, необходимым для проведения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профилактический контроль с посещением субъекта (объекта) контроля и надзора и (или) проверку, до начала участия в профилактическом контроле с посещением субъекта (объекта) контроля и надзора и (или) проверке лиц, не указанных в акте о назначении профилактического контроля с посещением субъекта (объекта) контроля и надзора и (или) проверки, с указанием причины замены.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с учетом объема предстоящих работ, а также поставленных задач:</w:t>
            </w:r>
          </w:p>
          <w:p>
            <w:pPr>
              <w:spacing w:after="20"/>
              <w:ind w:left="20"/>
              <w:jc w:val="both"/>
            </w:pP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при проведении профилактического контроля с посещением субъекта (объекта) контроля и надзора и (или) проверки на соответствие требованиям – не более пятнадцати рабочих дней и с продлением на срок не более пятнадцати рабочих дней;</w:t>
            </w:r>
          </w:p>
          <w:p>
            <w:pPr>
              <w:spacing w:after="20"/>
              <w:ind w:left="20"/>
              <w:jc w:val="both"/>
            </w:pPr>
            <w:r>
              <w:rPr>
                <w:rFonts w:ascii="Times New Roman"/>
                <w:b w:val="false"/>
                <w:i w:val="false"/>
                <w:color w:val="000000"/>
                <w:sz w:val="20"/>
              </w:rPr>
              <w:t>при проведении внеплановых проверок – не более десяти рабочих дней и с продлением до десяти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профилактического контроля с посещением субъекта (объекта) контроля и надзора и (или) проверки только один раз, руководителем органа контроля и надзора (либо лицом, исполняющим его обязанности) в случаях необходимости:</w:t>
            </w:r>
          </w:p>
          <w:p>
            <w:pPr>
              <w:spacing w:after="20"/>
              <w:ind w:left="20"/>
              <w:jc w:val="both"/>
            </w:pPr>
            <w:r>
              <w:rPr>
                <w:rFonts w:ascii="Times New Roman"/>
                <w:b w:val="false"/>
                <w:i w:val="false"/>
                <w:color w:val="000000"/>
                <w:sz w:val="20"/>
              </w:rPr>
              <w:t>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2) установления местонахождения лица, в отношении которого проводятся профилактический контроль с посещением субъекта (объекта) контроля и надзора и (или) проверка;</w:t>
            </w:r>
          </w:p>
          <w:p>
            <w:pPr>
              <w:spacing w:after="20"/>
              <w:ind w:left="20"/>
              <w:jc w:val="both"/>
            </w:pPr>
            <w:r>
              <w:rPr>
                <w:rFonts w:ascii="Times New Roman"/>
                <w:b w:val="false"/>
                <w:i w:val="false"/>
                <w:color w:val="000000"/>
                <w:sz w:val="20"/>
              </w:rPr>
              <w:t>3) получения результатов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сроков профилактического контроля с посещением субъекта (объекта) контроля и надзора и (или)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профилактического контроля с посещением субъекта (объекта) контроля и надзора и (или) проверки и причина продления в случае продления сроков профилактического контроля с посещением субъекта (объекта) контроля и надзора и (или) проверки и причины продления.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субъекта (объекта) контроля и надзора о продлении сроков профилактического контроля с посещением субъекта (объекта) контроля и надзора и (или) проверки за один рабочий день до продления.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субъекта контроля и надзора и уполномоченного лица субъекта контроля и надзора, удостоверенного актом отбора образцов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w:t>
            </w:r>
          </w:p>
          <w:p>
            <w:pPr>
              <w:spacing w:after="20"/>
              <w:ind w:left="20"/>
              <w:jc w:val="both"/>
            </w:pPr>
            <w:r>
              <w:rPr>
                <w:rFonts w:ascii="Times New Roman"/>
                <w:b w:val="false"/>
                <w:i w:val="false"/>
                <w:color w:val="000000"/>
                <w:sz w:val="20"/>
              </w:rPr>
              <w:t>1) место и дата составления;</w:t>
            </w:r>
          </w:p>
          <w:p>
            <w:pPr>
              <w:spacing w:after="20"/>
              <w:ind w:left="20"/>
              <w:jc w:val="both"/>
            </w:pPr>
            <w:r>
              <w:rPr>
                <w:rFonts w:ascii="Times New Roman"/>
                <w:b w:val="false"/>
                <w:i w:val="false"/>
                <w:color w:val="000000"/>
                <w:sz w:val="20"/>
              </w:rPr>
              <w:t>2) номер и дата решения руководителя органа контроля и надзора, на основании которого осуществляется отбор образцов продукции;</w:t>
            </w:r>
          </w:p>
          <w:p>
            <w:pPr>
              <w:spacing w:after="20"/>
              <w:ind w:left="20"/>
              <w:jc w:val="both"/>
            </w:pPr>
            <w:r>
              <w:rPr>
                <w:rFonts w:ascii="Times New Roman"/>
                <w:b w:val="false"/>
                <w:i w:val="false"/>
                <w:color w:val="000000"/>
                <w:sz w:val="20"/>
              </w:rPr>
              <w:t>3) должности, фамилии, имена и отчества (если они указаны в документах, удостоверяющих личность) должностных лиц органа контроля и надзора, осуществляющих отбор образцов продукции;</w:t>
            </w:r>
          </w:p>
          <w:p>
            <w:pPr>
              <w:spacing w:after="20"/>
              <w:ind w:left="20"/>
              <w:jc w:val="both"/>
            </w:pPr>
            <w:r>
              <w:rPr>
                <w:rFonts w:ascii="Times New Roman"/>
                <w:b w:val="false"/>
                <w:i w:val="false"/>
                <w:color w:val="000000"/>
                <w:sz w:val="20"/>
              </w:rPr>
              <w:t>4) наименование и место нахождения субъекта (объекта) контроля и надзора, у которого производится отбор образцов продукции;</w:t>
            </w:r>
          </w:p>
          <w:p>
            <w:pPr>
              <w:spacing w:after="20"/>
              <w:ind w:left="20"/>
              <w:jc w:val="both"/>
            </w:pPr>
            <w:r>
              <w:rPr>
                <w:rFonts w:ascii="Times New Roman"/>
                <w:b w:val="false"/>
                <w:i w:val="false"/>
                <w:color w:val="000000"/>
                <w:sz w:val="20"/>
              </w:rPr>
              <w:t>5) должность и фамилия, имя, отчество (если оно указано в документе, удостоверяющем личность) руководителя или представителя субъекта контроля и надзора и уполномоченного лица субъекта контроля и надзора;</w:t>
            </w:r>
          </w:p>
          <w:p>
            <w:pPr>
              <w:spacing w:after="20"/>
              <w:ind w:left="20"/>
              <w:jc w:val="both"/>
            </w:pPr>
            <w:r>
              <w:rPr>
                <w:rFonts w:ascii="Times New Roman"/>
                <w:b w:val="false"/>
                <w:i w:val="false"/>
                <w:color w:val="000000"/>
                <w:sz w:val="20"/>
              </w:rPr>
              <w:t>6) перечень и количество отобранных образцов продукции с указанием производителя, даты производства, серии (номера) партии, общей стоимости образцов;</w:t>
            </w:r>
          </w:p>
          <w:p>
            <w:pPr>
              <w:spacing w:after="20"/>
              <w:ind w:left="20"/>
              <w:jc w:val="both"/>
            </w:pPr>
            <w:r>
              <w:rPr>
                <w:rFonts w:ascii="Times New Roman"/>
                <w:b w:val="false"/>
                <w:i w:val="false"/>
                <w:color w:val="000000"/>
                <w:sz w:val="20"/>
              </w:rPr>
              <w:t>7) вид упаковки и номер печати (пломбы).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данные должностные лица;</w:t>
            </w:r>
          </w:p>
          <w:p>
            <w:pPr>
              <w:spacing w:after="20"/>
              <w:ind w:left="20"/>
              <w:jc w:val="both"/>
            </w:pP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профилактического контроля с посещением субъекта (объекта) контроля и надзора и (или) проверки или не относятся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акта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4) разглашать и (или) распространять информацию, полученную в результате проведения профилактического контроля с посещением субъекта (объекта) контроля и надзора и (или)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p>
            <w:pPr>
              <w:spacing w:after="20"/>
              <w:ind w:left="20"/>
              <w:jc w:val="both"/>
            </w:pPr>
            <w:r>
              <w:rPr>
                <w:rFonts w:ascii="Times New Roman"/>
                <w:b w:val="false"/>
                <w:i w:val="false"/>
                <w:color w:val="000000"/>
                <w:sz w:val="20"/>
              </w:rPr>
              <w:t>5) превышать установленные сроки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проводить профилактический контроль с посещением субъекта (объекта) контроля и надзора и (или) проверку субъекта (объекта) контроля и надзора, в отношении которого ранее проводились профилактический контроль с посещением субъекта (объекта) контроля и надзора и (или) проверки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7) проводить мероприятия, носящие затратный характер, в целях проведения профилактического контроля с посещением субъекта (объекта) контроля и надзора и (или) проверки за счет субъектов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о результатах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дата и номер акта о назначении профилактического контроля с посещением субъекта (объекта) контроля и надзора и (или) проверки (дополнительного акта о продлении срока при его наличии), на основании которого проведены профилактический контроль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сведения о результатах профилактического контроля с посещением субъекта (объекта) контроля и надзора и (или) проверки, в том числе о выявленных нарушениях, их характере;</w:t>
            </w:r>
          </w:p>
          <w:p>
            <w:pPr>
              <w:spacing w:after="20"/>
              <w:ind w:left="20"/>
              <w:jc w:val="both"/>
            </w:pP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9) сведения об ознакомлении или отказе в ознакомлении с актом о результатах профилактического контроля с посещением субъекта (объекта) контроля и надзора и (или) проверки представителей субъекта контроля и надзора, а также лиц, присутствовавших при проведении профилактического контроля с посещением субъекта (объекта) контроля и надзора и (или) проверки, их подписи или отказ от подписи;</w:t>
            </w:r>
          </w:p>
          <w:p>
            <w:pPr>
              <w:spacing w:after="20"/>
              <w:ind w:left="20"/>
              <w:jc w:val="both"/>
            </w:pPr>
            <w:r>
              <w:rPr>
                <w:rFonts w:ascii="Times New Roman"/>
                <w:b w:val="false"/>
                <w:i w:val="false"/>
                <w:color w:val="000000"/>
                <w:sz w:val="20"/>
              </w:rPr>
              <w:t>10)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перечень выявленных нарушений в соответствии с пунктами требований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7) указания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профилактическом контроле с посещением субъекта (объекта) контроля и надзора и (или) проверке, их подписи или отказ от подписи;</w:t>
            </w:r>
          </w:p>
          <w:p>
            <w:pPr>
              <w:spacing w:after="20"/>
              <w:ind w:left="20"/>
              <w:jc w:val="both"/>
            </w:pPr>
            <w:r>
              <w:rPr>
                <w:rFonts w:ascii="Times New Roman"/>
                <w:b w:val="false"/>
                <w:i w:val="false"/>
                <w:color w:val="000000"/>
                <w:sz w:val="20"/>
              </w:rPr>
              <w:t>9)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Неназначение органами контроля и надзора профилактического контроля с посещением субъекта (объекта) контроля и надзора и (или) проверки по вопросам, не входящим в их компетенцию.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 о результатах профилактического контроля с посещением субъекта (объекта) контроля и надзора и (или) проверки, в случаях выявления нарушений – предписание об устранении выявленных нарушений по результатам, проведенных профилактического контроля с посещением субъекта (объекта) контроля и надзора и (или) проверки в день их окончания.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соблюдать законодательство Республики Казахстан, права и законные интересы субъектов контроля и надзора;</w:t>
            </w:r>
          </w:p>
          <w:p>
            <w:pPr>
              <w:spacing w:after="20"/>
              <w:ind w:left="20"/>
              <w:jc w:val="both"/>
            </w:pPr>
            <w:r>
              <w:rPr>
                <w:rFonts w:ascii="Times New Roman"/>
                <w:b w:val="false"/>
                <w:i w:val="false"/>
                <w:color w:val="000000"/>
                <w:sz w:val="20"/>
              </w:rPr>
              <w:t xml:space="preserve">2) проводить профилактический контроль с посещением субъекта (объекта) контроля и надзора и (или) проверку на основании и в строгом соответствии с порядком, установленным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 и (или) иными законами Республики Казахстан;</w:t>
            </w:r>
          </w:p>
          <w:p>
            <w:pPr>
              <w:spacing w:after="20"/>
              <w:ind w:left="20"/>
              <w:jc w:val="both"/>
            </w:pP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5) не препятствовать субъекту контроля и надзора либо его уполномоченному представителю присутствовать при проведении профилактического контроля с посещением субъекта (объекта) контроля и надзора и (или) проверки, давать разъяснения по вопросам, относящимся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предоставлять субъекту контроля и надзора необходимую информацию, относящуюся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обеспечить сохранность документов и сведений, полученных в результате проведения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профилактического контроля с посещением субъекта (объекта) контроля и надзора и (или) проверки субъектов малого предпринимательства, в том числе субъектов микропредпринимательства.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ежегодного Единого дня отчета в порядке, определяемом уполномоченным органом по предпринимательству.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63</w:t>
            </w:r>
          </w:p>
        </w:tc>
      </w:tr>
    </w:tbl>
    <w:bookmarkStart w:name="z288" w:id="71"/>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 в соответствии со статьей 138 Предпринимательского кодекса Республики Казахстан в отношении государственных органов, осуществляющих выдачу разрешений первой и второй категории, прием уведомлений на осуществление предпринимательской деятельности</w:t>
      </w:r>
    </w:p>
    <w:bookmarkEnd w:id="71"/>
    <w:p>
      <w:pPr>
        <w:spacing w:after="0"/>
        <w:ind w:left="0"/>
        <w:jc w:val="both"/>
      </w:pPr>
      <w:bookmarkStart w:name="z289" w:id="72"/>
      <w:r>
        <w:rPr>
          <w:rFonts w:ascii="Times New Roman"/>
          <w:b w:val="false"/>
          <w:i w:val="false"/>
          <w:color w:val="000000"/>
          <w:sz w:val="28"/>
        </w:rPr>
        <w:t>
      Государственный орган, назначивший проверку/профилактический контроль</w:t>
      </w:r>
    </w:p>
    <w:bookmarkEnd w:id="72"/>
    <w:p>
      <w:pPr>
        <w:spacing w:after="0"/>
        <w:ind w:left="0"/>
        <w:jc w:val="both"/>
      </w:pPr>
      <w:r>
        <w:rPr>
          <w:rFonts w:ascii="Times New Roman"/>
          <w:b w:val="false"/>
          <w:i w:val="false"/>
          <w:color w:val="000000"/>
          <w:sz w:val="28"/>
        </w:rPr>
        <w:t>с посещением субъекта (объекта) контроля и надзора: 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соответствия требованиям, установленным нормативными правовыми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p>
            <w:pPr>
              <w:spacing w:after="20"/>
              <w:ind w:left="20"/>
              <w:jc w:val="both"/>
            </w:pPr>
            <w:r>
              <w:rPr>
                <w:rFonts w:ascii="Times New Roman"/>
                <w:b w:val="false"/>
                <w:i w:val="false"/>
                <w:color w:val="000000"/>
                <w:sz w:val="20"/>
              </w:rPr>
              <w:t xml:space="preserve">
1) осуществлять лицензирование и разрешительные процедуры в соответствии с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
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субъектами (объектами) контроля и надзора требований по срокам действия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p>
            <w:pPr>
              <w:spacing w:after="20"/>
              <w:ind w:left="20"/>
              <w:jc w:val="both"/>
            </w:pPr>
            <w:r>
              <w:rPr>
                <w:rFonts w:ascii="Times New Roman"/>
                <w:b w:val="false"/>
                <w:i w:val="false"/>
                <w:color w:val="000000"/>
                <w:sz w:val="20"/>
              </w:rPr>
              <w:t>
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
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
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p>
            <w:pPr>
              <w:spacing w:after="20"/>
              <w:ind w:left="20"/>
              <w:jc w:val="both"/>
            </w:pPr>
            <w:r>
              <w:rPr>
                <w:rFonts w:ascii="Times New Roman"/>
                <w:b w:val="false"/>
                <w:i w:val="false"/>
                <w:color w:val="000000"/>
                <w:sz w:val="20"/>
              </w:rPr>
              <w:t>
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заявитель не соответствует квалификационным требованиям;</w:t>
            </w:r>
          </w:p>
          <w:p>
            <w:pPr>
              <w:spacing w:after="20"/>
              <w:ind w:left="20"/>
              <w:jc w:val="both"/>
            </w:pPr>
            <w:r>
              <w:rPr>
                <w:rFonts w:ascii="Times New Roman"/>
                <w:b w:val="false"/>
                <w:i w:val="false"/>
                <w:color w:val="000000"/>
                <w:sz w:val="20"/>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p>
            <w:pPr>
              <w:spacing w:after="20"/>
              <w:ind w:left="20"/>
              <w:jc w:val="both"/>
            </w:pPr>
            <w:r>
              <w:rPr>
                <w:rFonts w:ascii="Times New Roman"/>
                <w:b w:val="false"/>
                <w:i w:val="false"/>
                <w:color w:val="000000"/>
                <w:sz w:val="20"/>
              </w:rPr>
              <w:t>
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xml:space="preserve">
3) реорганизации юридического лица-лицензиата в соответствии с порядком, определенным в соответствии с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0"/>
              </w:rPr>
              <w:t>приложением 1</w:t>
            </w:r>
            <w:r>
              <w:rPr>
                <w:rFonts w:ascii="Times New Roman"/>
                <w:b w:val="false"/>
                <w:i w:val="false"/>
                <w:color w:val="000000"/>
                <w:sz w:val="20"/>
              </w:rPr>
              <w:t xml:space="preserve"> к Закону;</w:t>
            </w:r>
          </w:p>
          <w:p>
            <w:pPr>
              <w:spacing w:after="20"/>
              <w:ind w:left="20"/>
              <w:jc w:val="both"/>
            </w:pPr>
            <w:r>
              <w:rPr>
                <w:rFonts w:ascii="Times New Roman"/>
                <w:b w:val="false"/>
                <w:i w:val="false"/>
                <w:color w:val="000000"/>
                <w:sz w:val="20"/>
              </w:rPr>
              <w:t>
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7) наличия требования о переоформлении в законах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p>
            <w:pPr>
              <w:spacing w:after="20"/>
              <w:ind w:left="20"/>
              <w:jc w:val="both"/>
            </w:pPr>
            <w:r>
              <w:rPr>
                <w:rFonts w:ascii="Times New Roman"/>
                <w:b w:val="false"/>
                <w:i w:val="false"/>
                <w:color w:val="000000"/>
                <w:sz w:val="20"/>
              </w:rPr>
              <w:t>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p>
            <w:pPr>
              <w:spacing w:after="20"/>
              <w:ind w:left="20"/>
              <w:jc w:val="both"/>
            </w:pPr>
            <w:r>
              <w:rPr>
                <w:rFonts w:ascii="Times New Roman"/>
                <w:b w:val="false"/>
                <w:i w:val="false"/>
                <w:color w:val="000000"/>
                <w:sz w:val="20"/>
              </w:rPr>
              <w:t>
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
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p>
            <w:pPr>
              <w:spacing w:after="20"/>
              <w:ind w:left="20"/>
              <w:jc w:val="both"/>
            </w:pPr>
            <w:r>
              <w:rPr>
                <w:rFonts w:ascii="Times New Roman"/>
                <w:b w:val="false"/>
                <w:i w:val="false"/>
                <w:color w:val="000000"/>
                <w:sz w:val="20"/>
              </w:rPr>
              <w:t>
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
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p>
            <w:pPr>
              <w:spacing w:after="20"/>
              <w:ind w:left="20"/>
              <w:jc w:val="both"/>
            </w:pPr>
            <w:r>
              <w:rPr>
                <w:rFonts w:ascii="Times New Roman"/>
                <w:b w:val="false"/>
                <w:i w:val="false"/>
                <w:color w:val="000000"/>
                <w:sz w:val="20"/>
              </w:rPr>
              <w:t>
1) непредставления или ненадлежащего оформления документов;</w:t>
            </w:r>
          </w:p>
          <w:p>
            <w:pPr>
              <w:spacing w:after="20"/>
              <w:ind w:left="20"/>
              <w:jc w:val="both"/>
            </w:pPr>
            <w:r>
              <w:rPr>
                <w:rFonts w:ascii="Times New Roman"/>
                <w:b w:val="false"/>
                <w:i w:val="false"/>
                <w:color w:val="000000"/>
                <w:sz w:val="20"/>
              </w:rPr>
              <w:t>
2) несоответствия заявителя квалификационным требованиям;</w:t>
            </w:r>
          </w:p>
          <w:p>
            <w:pPr>
              <w:spacing w:after="20"/>
              <w:ind w:left="20"/>
              <w:jc w:val="both"/>
            </w:pPr>
            <w:r>
              <w:rPr>
                <w:rFonts w:ascii="Times New Roman"/>
                <w:b w:val="false"/>
                <w:i w:val="false"/>
                <w:color w:val="000000"/>
                <w:sz w:val="20"/>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p>
            <w:pPr>
              <w:spacing w:after="20"/>
              <w:ind w:left="20"/>
              <w:jc w:val="both"/>
            </w:pPr>
            <w:r>
              <w:rPr>
                <w:rFonts w:ascii="Times New Roman"/>
                <w:b w:val="false"/>
                <w:i w:val="false"/>
                <w:color w:val="000000"/>
                <w:sz w:val="20"/>
              </w:rPr>
              <w:t>
1) истечения срока, на который они выданы;</w:t>
            </w:r>
          </w:p>
          <w:p>
            <w:pPr>
              <w:spacing w:after="20"/>
              <w:ind w:left="20"/>
              <w:jc w:val="both"/>
            </w:pPr>
            <w:r>
              <w:rPr>
                <w:rFonts w:ascii="Times New Roman"/>
                <w:b w:val="false"/>
                <w:i w:val="false"/>
                <w:color w:val="000000"/>
                <w:sz w:val="20"/>
              </w:rPr>
              <w:t>
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
3) лишения (отзыва) лицензии и (или) приложения к лицензии;</w:t>
            </w:r>
          </w:p>
          <w:p>
            <w:pPr>
              <w:spacing w:after="20"/>
              <w:ind w:left="20"/>
              <w:jc w:val="both"/>
            </w:pPr>
            <w:r>
              <w:rPr>
                <w:rFonts w:ascii="Times New Roman"/>
                <w:b w:val="false"/>
                <w:i w:val="false"/>
                <w:color w:val="000000"/>
                <w:sz w:val="20"/>
              </w:rPr>
              <w:t>
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
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xml:space="preserve">
6)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0"/>
              </w:rPr>
              <w:t>приложения 1</w:t>
            </w:r>
            <w:r>
              <w:rPr>
                <w:rFonts w:ascii="Times New Roman"/>
                <w:b w:val="false"/>
                <w:i w:val="false"/>
                <w:color w:val="000000"/>
                <w:sz w:val="20"/>
              </w:rPr>
              <w:t xml:space="preserve"> к Закону;</w:t>
            </w:r>
          </w:p>
          <w:p>
            <w:pPr>
              <w:spacing w:after="20"/>
              <w:ind w:left="20"/>
              <w:jc w:val="both"/>
            </w:pPr>
            <w:r>
              <w:rPr>
                <w:rFonts w:ascii="Times New Roman"/>
                <w:b w:val="false"/>
                <w:i w:val="false"/>
                <w:color w:val="000000"/>
                <w:sz w:val="20"/>
              </w:rPr>
              <w:t>
7) исключения лицензиата из числа лиц, подлежащих лицензированию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 с указанием причины отказа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приостановления действия разрешения и (или) приложения к разрешению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лишения (отзыва)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73"/>
      <w:r>
        <w:rPr>
          <w:rFonts w:ascii="Times New Roman"/>
          <w:b w:val="false"/>
          <w:i w:val="false"/>
          <w:color w:val="000000"/>
          <w:sz w:val="28"/>
        </w:rPr>
        <w:t>
      Должностное (ые) лицо (а) __________________________________________________</w:t>
      </w:r>
    </w:p>
    <w:bookmarkEnd w:id="73"/>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