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49fc" w14:textId="4674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29 июня 2019 года № 146/НҚ "Об утверждении Правил учета и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 мая 2023 года № 171/НҚ. Зарегистрирован в Министерстве юстиции Республики Казахстан 5 мая 2023 года № 32449. Утратил силу приказом Министра цифрового развития, инноваций и аэрокосмической промышленности Республики Казахстан от 29 февраля 2024 года № 110/НҚ.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29.02.2024 </w:t>
      </w:r>
      <w:r>
        <w:rPr>
          <w:rFonts w:ascii="Times New Roman"/>
          <w:b w:val="false"/>
          <w:i w:val="false"/>
          <w:color w:val="ff0000"/>
          <w:sz w:val="28"/>
        </w:rPr>
        <w:t>№ 110/НҚ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июня 2019 года № 146/НҚ "Об утверждении Правил учета и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 (зарегистрирован в Реестре государственной регистрации нормативных правовых актов под № 18949)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2023 года № 171/НҚ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2019 года № 146/НҚ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и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объектов информатизации "электронного правительства" (далее - Правила) разработаны в соответствии с подпунктом 31)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и определяют порядок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объектов информатизации "электронного правительства".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исходный программный код – текст компьютерной программы на каком-либо языке программирования или языке разметки, который может быть прочтен человеком и повторно использован;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репозиторий – хранилище объектов, структурированное по типу информации и предоставляемое на основе информационно-коммуникационных услуг оператора информационно-коммуникационной инфраструктуры "электронного правительства";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архитектурный портал "электронного правительства" – объект информатизации, предназначенный для осуществления учета, хранения и систематизации сведений об объектах информатизации "электронного правительства", архитектуры "электронного правительства" в целях дальнейшего использования государственными органами для мониторинга, анализа и планирования в сфере информатизации;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компиляция – перевод программы с языка высокого уровня в машинный язык;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откомпилированные модули (компоненты) программного продукта – программный продукт, созданный непосредственно разработчиками, а также сторонними разработчиками, файлы с настройками и рабочими данными, необходимыми для компиляции, установки и полноценного функционирования программного продукта.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 и хранение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"Об информатизации" и программного обеспечения, включенного в реестр доверенного программного обеспечения и продукции электронной промышленности (далее – Реестр)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"Об информатизации" в целях создания единой системы учета, обеспечения замены приобретенного программного продукта в случае его утраты, обеспечения возможности повторного использования.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объектов информатизации "электронного правительства"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и хранение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 и программного обеспечения, включенного в Реестр, организовывает уполномоченный орган и осуществляет оператор информационно-коммуникационной инфраструктуры "электронного правительства" (далее – оператор).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Учету и хранению подлежат: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исходные программные коды объектов информатизации "электронного правительства" и программного обеспечения, включенного в Реестр, включающие: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программные коды, написанные непосредственно разработчиками программного продукта, а также коды сторонних разработчиков, используемые в проекте;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файлы, необходимые для ручной или автоматической компиляции;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компиляции (с указанием среды разработки и ее версии), особенностей настроек среды разработки, необходимых для компилирования программного продукта;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загрузочный файл, включающий: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пакеты программы установки программного продукта;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дополнительное программное обеспечение в случае необходимости, определяемое собственником и (или) владельцем объекта информатизации "электронного правительства" и программного обеспечения, включенного в Реестр;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файл, содержащий структуру базы данных;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 настроек лицензионного программного обеспечения, используемого для разработанного программного обеспечения.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и хранение разработанного программного обеспечения, исходных программных кодов (при наличии) и комплекса настроек лицензионного программного обеспечения объектов информатизации "электронного правительства", осуществляется после ввода объекта информатизации "электронного правительства" в промышленную эксплуатацию.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 и (или) владелец объекта информатизации "электронного правительства" в течение десяти рабочих дней после ввода объекта информатизации "электронного правительства" в промышленную эксплуатацию направляет оператору заявку на учет и хранение разработанного программного обеспечения, исходных программных кодов (при наличии) и комплекса настроек лицензионного программного обеспечения объекта информатизации "электронного правительства" (далее – заявка), по форме согласно приложению 1 к настоящим Правилам.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регистрирует заявку по форме согласно приложению 2 к настоящим Правилам на архитектурном портале "электронного правительств" и в течение трех рабочих дней формирует репозиторий для принятия разработанного программного обеспечения, исходных программных кодов (при наличии) и комплекса настроек лицензионного программного обеспечения объекта информатизации "электронного правительства".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формирования репозитория в течение трех рабочих дней оператор принимает от собственника и (или) владельца объекта информатизации "электронного правительства" разработанные программные обеспечения, исходные программные коды (при наличии) и комплекс настроек лицензионного программного обеспечения объекта информатизации "электронного правительства" согласно пункту 5 настоящих Правил с уведомлением уполномоченного органа в течении пяти рабочих дней после их принятия.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многократного использования и (или) в случае утраты собственником и (или) владельцем объекта информатизации "электронного правительства" Оператор предоставляет ему доступ к репозиторию для скачивания разработанных им программных обеспечений, исходных программных кодов (при наличии) и комплекса настроек лицензионного программного обеспечения объекта информатизации "электронного правительства" с уведомлением уполномоченного органа.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прекращении эксплуатации объекта информатизации "электронного правительства" собственник и (или) владелец объекта информатизации "электронного правительства" в течение десяти рабочих дней уведомляет об этом оператора.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течение трех рабочих дней после получения уведомления осуществляет передачу разработанного программного обеспечения, исходных программных кодов (при наличии) и комплекса настроек лицензионного программного обеспечения объекта информатизации "электронного правительства" собственнику и (или) владельцу объекта информатизации "электронного правительства" по акту приема-передачи (далее - акт приема-передачи) по форме согласно приложению 3 к настоящим Правилам с уведомлением уполномоченного органа.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Собственник и (или) владелец объекта информатизации "электронного правительства" после принятия от оператора разработанного программного обеспечения, исходных программных кодов (при наличии) и комплекса настроек лицензионного программного обеспечения объекта информатизации "электронного правительства" обеспечивает их передачу в государственный архив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архивном фонде и архивах".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не позднее 10 числа месяца, следующего за истекшим полугодием, предоставляет уполномоченному органу отчет (в произвольной форме) о проведенных работах в рамках осуществления учета и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объекта информатизации "электронного правительства" и программного обеспечения, включенного в Реестр.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Собственники и (или) владельцы программного обеспечения после его включения в Реестр в течение пяти рабочих дней обеспечивают передачу оператору разработанного программного обеспечения, исходных программных кодов (при наличии) и комплекса настроек лицензионного программного обеспечения согласно пункту 5 настоящих Правил.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разработанного программного обеспечения, исходных программных кодов (при наличии) и комплекса настроек лицензионного программного обеспечения осуществляется по заявке (в произвольной форме), к которой прилагается: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приема-передачи согласно приложению 3 к Правилам, на двух экземплярах;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соглашение о конфиденциальности и неразглашении информации третьим лицам согласно приложению 4 к Правилам, на двух экземплярах;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электронный носитель информации с исходными кодами.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Оператор в течении пяти рабочих дней после получения документов в соответствии с пунктом 14 настоящих Правил осуществляет проверку соответствия сведений, указанных в акте приема-передачи, с размещенными на электронном носителе информации.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 направляет мотивированный отказ в приеме на учет и хранение разработанного программного обеспечения, исходных программных кодов (при наличии) и комплекса настроек лицензионного программного обеспечения в случае если: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отсутствует программное обеспечение в Реестре;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указанные в акте приема-передачи сведения, фактически размещенные на электронном носителе информации;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неисправности электронного носителя информации.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принятии разработанного программного обеспечения, исходных программных кодов (при наличии) и комплекса настроек лицензионного программного обеспечения на учет и хранение оператор подписывает с собственником и (или) владельцем программного обеспечения акт приема-передачи и соглашение о конфиденциальности и неразглашении информации третьим лицам с уведомлением уполномоченного органа в течении пяти рабочих дней после их принятия.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Полноту и достоверность передаваемого оператору на учет и хранение разработанного программного обеспечения, исходных программных кодов (при наличии) и комплекса настроек лицензионного программного обеспечения обеспечивает его собственник и (или) владелец.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Собственники и (или) владельцы программного обеспечения, включенного в Реестр до 1 января 2023 года, передают разработанное программного обеспечение, исходные программные коды (при наличии) и комплекс настроек лицензионного программного обеспечения на учет и хранение оператору.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разработанного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кодов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настроек лицензионного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учет и хранение разработанного программного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исходных программных кодов (при наличии), комплекса настроек лицензионного</w:t>
      </w:r>
      <w:r>
        <w:br/>
      </w:r>
      <w:r>
        <w:rPr>
          <w:rFonts w:ascii="Times New Roman"/>
          <w:b/>
          <w:i w:val="false"/>
          <w:color w:val="000000"/>
        </w:rPr>
        <w:t>программного обеспечения объекта информатизации "электронного правительства"</w:t>
      </w:r>
    </w:p>
    <w:bookmarkEnd w:id="53"/>
    <w:p>
      <w:pPr>
        <w:spacing w:after="0"/>
        <w:ind w:left="0"/>
        <w:jc w:val="both"/>
      </w:pPr>
      <w:bookmarkStart w:name="z64" w:id="54"/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– заявителя или фамилия, имя, отчество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лица-заявителя: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разработанного программного обеспечения, исходных программных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кодов (при наличии) и комплекса настроек лицензионного программного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информатизации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информационной системы из архитектурного портала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экземпляров: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Каждый в следующей комплектации: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CD/ файла/документа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CD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CD (Мгб)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бумажного носителя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(К)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" w:id="55"/>
      <w:r>
        <w:rPr>
          <w:rFonts w:ascii="Times New Roman"/>
          <w:b w:val="false"/>
          <w:i w:val="false"/>
          <w:color w:val="000000"/>
          <w:sz w:val="28"/>
        </w:rPr>
        <w:t>
      Сведения о владельце программных продуктов, программных кодов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нормативно-технической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владельца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Ведомственная подчиненность: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Сокращенное наименование организации: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|________|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Тел.: ___________ ______________ Факс: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 Http://____________________________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 для контактов: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разработчике программных продуктов, программных кодов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нормативно-технической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полное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Ведомственная подчиненность: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Сокращенное наименование организации: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|________|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Тел.: __________ _____________ Факс: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 Http://_______________________________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 для контактов: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отчество(при его наличии) 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авторах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Автор(ы):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сертификации: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издания: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Версия: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программирования: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издания: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Аннотация (назначение):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Минимальные системные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компьютера, процессор, сопроцессор, частота: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Оперативная память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на (RAM):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винчестере: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Операционные системы: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Видеосистема:__________________________________________________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Акустическая система: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Дополнительное оборудование: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программные средства:___________________________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Другое: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Защита от незаконного распространения (наличие, общая характеристика):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Источники финансирования (подчеркнуть): республиканский бюджет,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бюджет, государственные не бюджетные фонды, собственные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средства, средства гранта, внешние займы, кредит, средства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и физических лиц.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владельца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разработанного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кодов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и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настроек лицензионного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Регистрации заявок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(руководитель, подписавший заявку)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разработанного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кодов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настроек лицензионного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</w:tbl>
    <w:p>
      <w:pPr>
        <w:spacing w:after="0"/>
        <w:ind w:left="0"/>
        <w:jc w:val="both"/>
      </w:pPr>
      <w:bookmarkStart w:name="z72" w:id="58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о том, что 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 на хранение исходные коды программного обеспечения и комплекс настроек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нижеследующими данными:</w:t>
      </w:r>
    </w:p>
    <w:p>
      <w:pPr>
        <w:spacing w:after="0"/>
        <w:ind w:left="0"/>
        <w:jc w:val="both"/>
      </w:pPr>
      <w:bookmarkStart w:name="z73" w:id="59"/>
      <w:r>
        <w:rPr>
          <w:rFonts w:ascii="Times New Roman"/>
          <w:b w:val="false"/>
          <w:i w:val="false"/>
          <w:color w:val="000000"/>
          <w:sz w:val="28"/>
        </w:rPr>
        <w:t>
      1. Наименование программного обеспечения 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ПО).</w:t>
      </w:r>
    </w:p>
    <w:p>
      <w:pPr>
        <w:spacing w:after="0"/>
        <w:ind w:left="0"/>
        <w:jc w:val="both"/>
      </w:pPr>
      <w:bookmarkStart w:name="z74" w:id="60"/>
      <w:r>
        <w:rPr>
          <w:rFonts w:ascii="Times New Roman"/>
          <w:b w:val="false"/>
          <w:i w:val="false"/>
          <w:color w:val="000000"/>
          <w:sz w:val="28"/>
        </w:rPr>
        <w:t>
      2. Краткая аннотация ПО 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(назначение и область применения)</w:t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об исходных кодах программного обеспечения и комплексе настроек: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диска (наименование и версия программного обеспечения)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каталога на диске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файла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файла, Мбайт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Применяемый язык программирования (при необходимости)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языка программирования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разработки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среды разработки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модификации файла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Исходные коды прикладного ПО: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диска (наименование и версия программного обеспечения)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каталога на диске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библиотеки/ программной платформы/ файла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Мбайт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программирования (при необходимости)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библиотеки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Исходные коды и исполняемые файлы используемых библиотек и программных(ой) платформ(ы) (при необходимости):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 Организации, принимающей исходные коды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Организации, передающей исходные коды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Контактные данные лица от 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принимающей исходные коды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фамилия, имя, отчество (при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должность: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телефон рабочий: 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сотовый: 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адрес электронной почты: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 ____________________@_________.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лица, от 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передающей исходные коды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фамилия, имя, отчество (при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должность: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телефон рабочий: 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сотовый: 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адрес электронной почты: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 ___________________@_________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разработанного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кодов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настроек лицензионного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конфиденциальности и неразглашении информации третьим лицам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202__ года</w:t>
            </w:r>
          </w:p>
        </w:tc>
      </w:tr>
    </w:tbl>
    <w:p>
      <w:pPr>
        <w:spacing w:after="0"/>
        <w:ind w:left="0"/>
        <w:jc w:val="both"/>
      </w:pPr>
      <w:bookmarkStart w:name="z81" w:id="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______________________________________________________________________,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Наименование/Фамилия, имя, отчество (при наличии) собственника (владельца)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разработанного программного обеспечения, исходных программных кодов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и комплекса настроек лицензионного программного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Собственник (Владелец),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Акционерное общество "Национальные информационные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технологии", именуемое в дальнейшем "Оператор",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Устава, с другой стороны, далее совместно именуемые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"Стороны" в целях сохранения и нераспространения информации, заключили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Соглашение о конфиденциальности и неразглашении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Соглашение) о нижеследующем:</w:t>
      </w:r>
    </w:p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Для целей Соглашения используются понятия (термины, определения), которые при изложении по тексту с заглавных букв означают нижеследующее: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конфиденциальная информация – информация, в отношении которой в соответствии с законодательством, Соглашением, внутренними актами Собственника (Владельца) ограничен доступ (установлена конфиденциальность), то есть установлено обязательное для выполнения лицом (Оператором), получившим Доступ (Допуск) к данной информации, требование не передавать (не разглашать) такую информацию Третьим лицам без письменного согласия Собственника (Владельца);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конфиденциальной информации в рамках настоящего Соглашения относят исходные коды прикладного программного обеспечения и исполняемые файлы используемых библиотек и программных(ой) платформ(ы);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"третьи лица" - любое физическое или юридическое лицо, за исключением Сторон, а также их сотрудников, аффилиированных лиц;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"неразглашение и неиспользование конфиденциальной информации" - любое умышленное или непредумышленное ознакомление Оператором (ее должностными лицами, работниками, партнерами) третьих лиц, будь то юридические или физические лица, с конфиденциальной информацией Собственника (Владельца), в любой форме;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допуск – оформление права Оператора на доступ к конфиденциальной информации (любой ее части), в форме и в пределах, определяемых Собственником (Владельцем), и на условиях, что Оператор хранит в тайне эти сведения, не раскрывает третьим лицам, создает надлежащие условия для сохранения такой информации и не использует их любым другим способом, кроме как это определено Соглашением и (или) письменным согласием (разрешением) Собственника (Владельца) или уполномоченного им лица;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разглашение – действия (бездействие) Оператора, в том числе передача, распространение, раскрытие, утечка, в результате которых конфиденциальная информация, в любой возможной форме (устной, письменной или иной форме, в том числе с использованием технических средств) становится известной третьим лицам, без письменного согласия Собственника (Владельца) или уполномоченного им лица или с нарушением такого согласия, либо вопреки Соглашению, а также непринятие всех мер, необходимых для сохранения конфиденциальной информации, вследствие чего произошло разглашение такой информации;</w:t>
      </w:r>
    </w:p>
    <w:bookmarkEnd w:id="73"/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Обязанности оператора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Оператор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информатизации" осуществляет учет и хранение разработанного программного обеспечения, исходных программных кодов, комплекса настроек лицензионного программного обеспечения объектов информатизации "электронного правительства", а также программного обеспечения, включенного в реестр доверенного программного обеспечения и продукции электронной промышленности и принимает на себя следующие обязательства: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использовать конфиденциальную информацию только в связи с исполнением обязательств, указанных в пункте 2.1 настоящего Соглашения;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не разглашать третьим лицам Конфиденциальную информацию, которая станет ему известной;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выполнять требования настоящего Соглашения.</w:t>
      </w:r>
    </w:p>
    <w:bookmarkEnd w:id="78"/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Меры по защите информации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Собственник (Владелец) передает Оператору доступ к конфиденциальной информации на условиях, что Оператором исполняются меры по ее защите, обеспечивающие: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3.1.1. предотвращение несанкционированного доступа к конфиденциальной информации (ознакомления с такой информацией третьих лиц и (или) передачи такой информации указанным лицам);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3.1.2. своевременное обнаружение и пресечение несанкционированного доступа к конфиденциальной информации;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3.1.3. постоянный контроль за обеспечением уровня защищенности конфиденциальной информации;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3.1.4. недопущение воздействия на технические средства хранения конфиденциальной информации;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3.1.5. учет лиц, получивших доступ к конфиденциальной информации;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3.1.6. предотвращение несанкционированного воздействия на конфиденциальную информацию (воздействия на информацию с нарушением установленных правил изменения информации, приводящим к искажению, подделке, уничтожению (полному или частичному), хищению, неправомерному перехвату, копированию, блокированию доступа к информации, а также к утрате, уничтожению или сбою функционирования материального носителя информации);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3.1.7. предотвращение непреднамеренного воздействия на конфиденциальную информацию (воздействия на информацию вследствие ошибок пользователей, сбоя технических и программных средств, природных явлений или иных не направленных на изменение информации событий, приводящих к искажению, подделке, уничтожению (полному или частичному), хищению, неправомерному перехвату, копированию, блокированию доступа к конфиденциальной информации, а также к утрате, уничтожению или сбою функционирования электронного носителя информации);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3.1.8. предотвращение преднамеренного воздействия на конфиденциальную информацию (умышленного воздействия, в том числе электромагнитного и (или) воздействия другой физической природы, осуществляемого с противоправной целью).</w:t>
      </w:r>
    </w:p>
    <w:bookmarkEnd w:id="88"/>
    <w:bookmarkStart w:name="z10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Разглашение Оператором конфиденциальной информации является основанием для привлечения к ответственности, предусмотренной законодательством Республики Казахстан.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Основанием для привлечения Оператора к ответственности являются выявленные факты неправомерного использования и (или) Разглашения Конфиденциальной информации и (или) убытки, причиненные Собственнику (Владельцу) Оператором в результате виновного противоправного поведения (действия или бездействия) Оператора и причинной связи между виновным противоправным поведением и причиненными убытками.</w:t>
      </w:r>
    </w:p>
    <w:bookmarkEnd w:id="91"/>
    <w:bookmarkStart w:name="z10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Действие Соглашения начинается со дня его подписания Сторонами. При этом Стороны, понимая, что право Собственника (Владельца) на защиту конфиденциальной информации от незаконного использования возникает независимо от выполнения в отношении этой конфиденциальной информации каких-либо формальностей (ее регистрации, получения свидетельств и т.п.) и действует на весь срок действия права Собственника (Владельца) на защиту конфиденциальной информации.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Соглашение, а также все правоотношения, возникающие в связи с исполнением Соглашения, регулируются и подлежат толкованию в соответствии с законодательством Республики Казахстан.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Все споры и разногласия, возникающие из Соглашения или в связи с ним, подлежат урегулированию путем проведения переговоров между Сторонами.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Содержание Соглашения не подлежит разглашению третьим лицам за исключением случаев, предусмотренных законодательством.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Соглашение заключено в 2 (двух) экземплярах и подписано Сторонами, по одному экземпляру для каждой из Сторон.</w:t>
      </w:r>
    </w:p>
    <w:bookmarkEnd w:id="97"/>
    <w:bookmarkStart w:name="z11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Подписи сторон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(Владелец):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