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341b" w14:textId="0863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15 декабря 2014 года № 209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p>
      <w:pPr>
        <w:spacing w:after="0"/>
        <w:ind w:left="0"/>
        <w:jc w:val="both"/>
      </w:pPr>
      <w:r>
        <w:rPr>
          <w:rFonts w:ascii="Times New Roman"/>
          <w:b w:val="false"/>
          <w:i w:val="false"/>
          <w:color w:val="000000"/>
          <w:sz w:val="28"/>
        </w:rPr>
        <w:t>Приказ Министра энергетики Республики Казахстан от 28 апреля 2023 года № 166. Зарегистрирован в Министерстве юстиции Республики Казахстан 3 мая 2023 года № 32421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 (зарегистрирован в Реестре государственной регистрации нормативных правовых актов за № 10120)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7) следующего содержания:</w:t>
      </w:r>
    </w:p>
    <w:bookmarkStart w:name="z12" w:id="5"/>
    <w:p>
      <w:pPr>
        <w:spacing w:after="0"/>
        <w:ind w:left="0"/>
        <w:jc w:val="both"/>
      </w:pPr>
      <w:r>
        <w:rPr>
          <w:rFonts w:ascii="Times New Roman"/>
          <w:b w:val="false"/>
          <w:i w:val="false"/>
          <w:color w:val="000000"/>
          <w:sz w:val="28"/>
        </w:rPr>
        <w:t xml:space="preserve">
      "7) крупный коммерческий потребитель – юридическое лицо, за исключением промышленного потребителя-инвестора и потребителя, включенного в перечень электростанций, приобретающее товарный газ для использования в своей деятельности, соответствующее критериям, установленным в </w:t>
      </w:r>
      <w:r>
        <w:rPr>
          <w:rFonts w:ascii="Times New Roman"/>
          <w:b w:val="false"/>
          <w:i w:val="false"/>
          <w:color w:val="000000"/>
          <w:sz w:val="28"/>
        </w:rPr>
        <w:t>пункте 4-1</w:t>
      </w:r>
      <w:r>
        <w:rPr>
          <w:rFonts w:ascii="Times New Roman"/>
          <w:b w:val="false"/>
          <w:i w:val="false"/>
          <w:color w:val="000000"/>
          <w:sz w:val="28"/>
        </w:rPr>
        <w:t xml:space="preserve"> статьи 8 Закона;";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14" w:id="6"/>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предельные цены оптовой реализации товарного газа на внутреннем рынке устанавливаются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с учетом экономических и социальных условий газоснабжения регионов Республики Казахстан.</w:t>
      </w:r>
    </w:p>
    <w:bookmarkEnd w:id="6"/>
    <w:bookmarkStart w:name="z15" w:id="7"/>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хранению товарного газа в подземных хранилищах газа.</w:t>
      </w:r>
    </w:p>
    <w:bookmarkEnd w:id="7"/>
    <w:bookmarkStart w:name="z16" w:id="8"/>
    <w:p>
      <w:pPr>
        <w:spacing w:after="0"/>
        <w:ind w:left="0"/>
        <w:jc w:val="both"/>
      </w:pPr>
      <w:r>
        <w:rPr>
          <w:rFonts w:ascii="Times New Roman"/>
          <w:b w:val="false"/>
          <w:i w:val="false"/>
          <w:color w:val="000000"/>
          <w:sz w:val="28"/>
        </w:rPr>
        <w:t>
      Для регионов Республики Казахстан, в которых отсутствует снабжение товарным газом, уровень предельной цены оптовой реализации товарного газа не рассчитывается.</w:t>
      </w:r>
    </w:p>
    <w:bookmarkEnd w:id="8"/>
    <w:bookmarkStart w:name="z17" w:id="9"/>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пунктами 2-1</w:t>
      </w:r>
      <w:r>
        <w:rPr>
          <w:rFonts w:ascii="Times New Roman"/>
          <w:b w:val="false"/>
          <w:i w:val="false"/>
          <w:color w:val="000000"/>
          <w:sz w:val="28"/>
        </w:rPr>
        <w:t xml:space="preserve"> и 2-2 </w:t>
      </w:r>
      <w:r>
        <w:rPr>
          <w:rFonts w:ascii="Times New Roman"/>
          <w:b w:val="false"/>
          <w:i w:val="false"/>
          <w:color w:val="000000"/>
          <w:sz w:val="28"/>
        </w:rPr>
        <w:t>статьи 20</w:t>
      </w:r>
      <w:r>
        <w:rPr>
          <w:rFonts w:ascii="Times New Roman"/>
          <w:b w:val="false"/>
          <w:i w:val="false"/>
          <w:color w:val="000000"/>
          <w:sz w:val="28"/>
        </w:rPr>
        <w:t xml:space="preserve"> Закона предельные цены оптовой реализации товарного газа на внутреннем рынке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устанавливаются с даты введения их в эксплуатацию каждые пять лет с разбивкой по годам и при необходимости корректируются ежегодно 1 июля отдельно для каждой области, города республиканского значения, столицы.</w:t>
      </w:r>
    </w:p>
    <w:bookmarkEnd w:id="9"/>
    <w:bookmarkStart w:name="z18" w:id="10"/>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хранению товарного газа в подземных хранилищах газа.</w:t>
      </w:r>
    </w:p>
    <w:bookmarkEnd w:id="10"/>
    <w:bookmarkStart w:name="z19" w:id="11"/>
    <w:p>
      <w:pPr>
        <w:spacing w:after="0"/>
        <w:ind w:left="0"/>
        <w:jc w:val="both"/>
      </w:pPr>
      <w:r>
        <w:rPr>
          <w:rFonts w:ascii="Times New Roman"/>
          <w:b w:val="false"/>
          <w:i w:val="false"/>
          <w:color w:val="000000"/>
          <w:sz w:val="28"/>
        </w:rPr>
        <w:t>
      Предельные цены оптовой реализации товарного газа на внутреннем рынке для потребителей, включенных в перечень электростанций, устанавливаются отдельно для каждого потребителя, включенного в перечень электростанций, каждые пять лет с разбивкой по годам и при необходимости корректируются ежегодно 1 июля.</w:t>
      </w:r>
    </w:p>
    <w:bookmarkEnd w:id="11"/>
    <w:bookmarkStart w:name="z20" w:id="12"/>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хранению товарного газа в подземных хранилищах газа.";</w:t>
      </w:r>
    </w:p>
    <w:bookmarkEnd w:id="12"/>
    <w:bookmarkStart w:name="z21" w:id="13"/>
    <w:p>
      <w:pPr>
        <w:spacing w:after="0"/>
        <w:ind w:left="0"/>
        <w:jc w:val="both"/>
      </w:pPr>
      <w:r>
        <w:rPr>
          <w:rFonts w:ascii="Times New Roman"/>
          <w:b w:val="false"/>
          <w:i w:val="false"/>
          <w:color w:val="000000"/>
          <w:sz w:val="28"/>
        </w:rPr>
        <w:t>
      дополнить пунктом 4-1 следующего содержания:</w:t>
      </w:r>
    </w:p>
    <w:bookmarkEnd w:id="13"/>
    <w:bookmarkStart w:name="z22" w:id="14"/>
    <w:p>
      <w:pPr>
        <w:spacing w:after="0"/>
        <w:ind w:left="0"/>
        <w:jc w:val="both"/>
      </w:pPr>
      <w:r>
        <w:rPr>
          <w:rFonts w:ascii="Times New Roman"/>
          <w:b w:val="false"/>
          <w:i w:val="false"/>
          <w:color w:val="000000"/>
          <w:sz w:val="28"/>
        </w:rPr>
        <w:t xml:space="preserve">
      "4-1. В соответствии с пунктами 2-3 и 2-4 </w:t>
      </w:r>
      <w:r>
        <w:rPr>
          <w:rFonts w:ascii="Times New Roman"/>
          <w:b w:val="false"/>
          <w:i w:val="false"/>
          <w:color w:val="000000"/>
          <w:sz w:val="28"/>
        </w:rPr>
        <w:t>статьи 20</w:t>
      </w:r>
      <w:r>
        <w:rPr>
          <w:rFonts w:ascii="Times New Roman"/>
          <w:b w:val="false"/>
          <w:i w:val="false"/>
          <w:color w:val="000000"/>
          <w:sz w:val="28"/>
        </w:rPr>
        <w:t xml:space="preserve"> Закона предельные цены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устанавливаются ежегодно 1 июля отдельно для каждой области, города республиканского значения, столицы.</w:t>
      </w:r>
    </w:p>
    <w:bookmarkEnd w:id="14"/>
    <w:bookmarkStart w:name="z23" w:id="15"/>
    <w:p>
      <w:pPr>
        <w:spacing w:after="0"/>
        <w:ind w:left="0"/>
        <w:jc w:val="both"/>
      </w:pPr>
      <w:r>
        <w:rPr>
          <w:rFonts w:ascii="Times New Roman"/>
          <w:b w:val="false"/>
          <w:i w:val="false"/>
          <w:color w:val="000000"/>
          <w:sz w:val="28"/>
        </w:rPr>
        <w:t>
      Предельные цены, устанавливаемые для крупных коммерческих потребителей, не распространяются на отношения по реализации товарного газа, необходимого для производства:</w:t>
      </w:r>
    </w:p>
    <w:bookmarkEnd w:id="15"/>
    <w:bookmarkStart w:name="z24" w:id="16"/>
    <w:p>
      <w:pPr>
        <w:spacing w:after="0"/>
        <w:ind w:left="0"/>
        <w:jc w:val="both"/>
      </w:pPr>
      <w:r>
        <w:rPr>
          <w:rFonts w:ascii="Times New Roman"/>
          <w:b w:val="false"/>
          <w:i w:val="false"/>
          <w:color w:val="000000"/>
          <w:sz w:val="28"/>
        </w:rPr>
        <w:t>
      социально значимых продовольственных товаров;</w:t>
      </w:r>
    </w:p>
    <w:bookmarkEnd w:id="16"/>
    <w:bookmarkStart w:name="z25" w:id="17"/>
    <w:p>
      <w:pPr>
        <w:spacing w:after="0"/>
        <w:ind w:left="0"/>
        <w:jc w:val="both"/>
      </w:pPr>
      <w:r>
        <w:rPr>
          <w:rFonts w:ascii="Times New Roman"/>
          <w:b w:val="false"/>
          <w:i w:val="false"/>
          <w:color w:val="000000"/>
          <w:sz w:val="28"/>
        </w:rPr>
        <w:t>
      тепловой и (или) электрической энергии для населения и юридических лиц, кроме лиц, осуществляющих цифровой майнинг.";</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7" w:id="18"/>
    <w:p>
      <w:pPr>
        <w:spacing w:after="0"/>
        <w:ind w:left="0"/>
        <w:jc w:val="both"/>
      </w:pPr>
      <w:r>
        <w:rPr>
          <w:rFonts w:ascii="Times New Roman"/>
          <w:b w:val="false"/>
          <w:i w:val="false"/>
          <w:color w:val="000000"/>
          <w:sz w:val="28"/>
        </w:rPr>
        <w:t>
      "7.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области, города республиканского значения, столицы, в том числе для промышленных потребителей-инвесторов, потребителей, включенных в перечень электростанций, крупных коммерческих потребителей, разрабатывается исходя из суммы:</w:t>
      </w:r>
    </w:p>
    <w:bookmarkEnd w:id="18"/>
    <w:bookmarkStart w:name="z28" w:id="19"/>
    <w:p>
      <w:pPr>
        <w:spacing w:after="0"/>
        <w:ind w:left="0"/>
        <w:jc w:val="both"/>
      </w:pPr>
      <w:r>
        <w:rPr>
          <w:rFonts w:ascii="Times New Roman"/>
          <w:b w:val="false"/>
          <w:i w:val="false"/>
          <w:color w:val="000000"/>
          <w:sz w:val="28"/>
        </w:rPr>
        <w:t>
      1) совокупности средневзвешенных значений:</w:t>
      </w:r>
    </w:p>
    <w:bookmarkEnd w:id="19"/>
    <w:bookmarkStart w:name="z29" w:id="20"/>
    <w:p>
      <w:pPr>
        <w:spacing w:after="0"/>
        <w:ind w:left="0"/>
        <w:jc w:val="both"/>
      </w:pPr>
      <w:r>
        <w:rPr>
          <w:rFonts w:ascii="Times New Roman"/>
          <w:b w:val="false"/>
          <w:i w:val="false"/>
          <w:color w:val="000000"/>
          <w:sz w:val="28"/>
        </w:rPr>
        <w:t>
      цен товарного газа, планируемого к приобретению национальным оператором у недропользователей в целях поставки в область, город республиканского значения, столицу в планируемом периоде;</w:t>
      </w:r>
    </w:p>
    <w:bookmarkEnd w:id="20"/>
    <w:bookmarkStart w:name="z30" w:id="21"/>
    <w:p>
      <w:pPr>
        <w:spacing w:after="0"/>
        <w:ind w:left="0"/>
        <w:jc w:val="both"/>
      </w:pPr>
      <w:r>
        <w:rPr>
          <w:rFonts w:ascii="Times New Roman"/>
          <w:b w:val="false"/>
          <w:i w:val="false"/>
          <w:color w:val="000000"/>
          <w:sz w:val="28"/>
        </w:rPr>
        <w:t>
      цен товарного газа, планируемого к приобретению в рамках сделок по встречным поставкам среднеазиатского и (или) российского газа на казахстанский товарный газ на планируемый период;</w:t>
      </w:r>
    </w:p>
    <w:bookmarkEnd w:id="21"/>
    <w:bookmarkStart w:name="z31" w:id="22"/>
    <w:p>
      <w:pPr>
        <w:spacing w:after="0"/>
        <w:ind w:left="0"/>
        <w:jc w:val="both"/>
      </w:pPr>
      <w:r>
        <w:rPr>
          <w:rFonts w:ascii="Times New Roman"/>
          <w:b w:val="false"/>
          <w:i w:val="false"/>
          <w:color w:val="000000"/>
          <w:sz w:val="28"/>
        </w:rPr>
        <w:t>
      цен товарного газа, планируемого к приобретению на границе Республики Казахстан, в рамках сделок по импортным поставкам на планируемый период;</w:t>
      </w:r>
    </w:p>
    <w:bookmarkEnd w:id="22"/>
    <w:bookmarkStart w:name="z32" w:id="23"/>
    <w:p>
      <w:pPr>
        <w:spacing w:after="0"/>
        <w:ind w:left="0"/>
        <w:jc w:val="both"/>
      </w:pPr>
      <w:r>
        <w:rPr>
          <w:rFonts w:ascii="Times New Roman"/>
          <w:b w:val="false"/>
          <w:i w:val="false"/>
          <w:color w:val="000000"/>
          <w:sz w:val="28"/>
        </w:rPr>
        <w:t xml:space="preserve">
      2) средневзвешенных расходов по транспортировке товарного газа по магистральным газопроводам от места его приобретения до газораспределительных систем области, города республиканского значения, столицы и хранению товарного газа в подземных хранилищах газа, определяемых на основании тарифов, утвержденных уполномоченным органом, осуществляющим руководство в соответствующих сферах естественных монополий,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8 Закона Республики Казахстан "О естественных монополиях;";</w:t>
      </w:r>
    </w:p>
    <w:bookmarkEnd w:id="23"/>
    <w:bookmarkStart w:name="z33" w:id="24"/>
    <w:p>
      <w:pPr>
        <w:spacing w:after="0"/>
        <w:ind w:left="0"/>
        <w:jc w:val="both"/>
      </w:pPr>
      <w:r>
        <w:rPr>
          <w:rFonts w:ascii="Times New Roman"/>
          <w:b w:val="false"/>
          <w:i w:val="false"/>
          <w:color w:val="000000"/>
          <w:sz w:val="28"/>
        </w:rPr>
        <w:t>
      3) норм рентабельности на планируемый период отдельно для каждой области, города республиканского значения, столицы;</w:t>
      </w:r>
    </w:p>
    <w:bookmarkEnd w:id="24"/>
    <w:bookmarkStart w:name="z34" w:id="25"/>
    <w:p>
      <w:pPr>
        <w:spacing w:after="0"/>
        <w:ind w:left="0"/>
        <w:jc w:val="both"/>
      </w:pPr>
      <w:r>
        <w:rPr>
          <w:rFonts w:ascii="Times New Roman"/>
          <w:b w:val="false"/>
          <w:i w:val="false"/>
          <w:color w:val="000000"/>
          <w:sz w:val="28"/>
        </w:rPr>
        <w:t xml:space="preserve">
      4) норм рентабельности на планируемый период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по производству нефтегазохимической продукции, утверждаемый уполномоченным органом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6 Закона (далее – перечень инвестиционных проектов), а также потребителей, включенных в перечень электростанций, в размере 7 % от совокупности средневзвешенных значений, указанных в подпункте 1) настоящего пункта;</w:t>
      </w:r>
    </w:p>
    <w:bookmarkEnd w:id="25"/>
    <w:bookmarkStart w:name="z35" w:id="26"/>
    <w:p>
      <w:pPr>
        <w:spacing w:after="0"/>
        <w:ind w:left="0"/>
        <w:jc w:val="both"/>
      </w:pPr>
      <w:r>
        <w:rPr>
          <w:rFonts w:ascii="Times New Roman"/>
          <w:b w:val="false"/>
          <w:i w:val="false"/>
          <w:color w:val="000000"/>
          <w:sz w:val="28"/>
        </w:rPr>
        <w:t>
      5) норм рентабельности на планируемый период для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в размере 0% от совокупности средневзвешенных значений, указанных в подпункте 1) настоящего пункта;</w:t>
      </w:r>
    </w:p>
    <w:bookmarkEnd w:id="26"/>
    <w:bookmarkStart w:name="z36" w:id="27"/>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для крупных коммерческих потребителей, годовой объем потребления товарного газа которых составляет в диапазонах свыше 10 млн м</w:t>
      </w:r>
      <w:r>
        <w:rPr>
          <w:rFonts w:ascii="Times New Roman"/>
          <w:b w:val="false"/>
          <w:i w:val="false"/>
          <w:color w:val="000000"/>
          <w:vertAlign w:val="superscript"/>
        </w:rPr>
        <w:t>3</w:t>
      </w:r>
      <w:r>
        <w:rPr>
          <w:rFonts w:ascii="Times New Roman"/>
          <w:b w:val="false"/>
          <w:i w:val="false"/>
          <w:color w:val="000000"/>
          <w:sz w:val="28"/>
        </w:rPr>
        <w:t>, но менее 100 млн м</w:t>
      </w:r>
      <w:r>
        <w:rPr>
          <w:rFonts w:ascii="Times New Roman"/>
          <w:b w:val="false"/>
          <w:i w:val="false"/>
          <w:color w:val="000000"/>
          <w:vertAlign w:val="superscript"/>
        </w:rPr>
        <w:t>3</w:t>
      </w:r>
      <w:r>
        <w:rPr>
          <w:rFonts w:ascii="Times New Roman"/>
          <w:b w:val="false"/>
          <w:i w:val="false"/>
          <w:color w:val="000000"/>
          <w:sz w:val="28"/>
        </w:rPr>
        <w:t>, свыше 100 млн м</w:t>
      </w:r>
      <w:r>
        <w:rPr>
          <w:rFonts w:ascii="Times New Roman"/>
          <w:b w:val="false"/>
          <w:i w:val="false"/>
          <w:color w:val="000000"/>
          <w:vertAlign w:val="superscript"/>
        </w:rPr>
        <w:t>3</w:t>
      </w:r>
      <w:r>
        <w:rPr>
          <w:rFonts w:ascii="Times New Roman"/>
          <w:b w:val="false"/>
          <w:i w:val="false"/>
          <w:color w:val="000000"/>
          <w:sz w:val="28"/>
        </w:rPr>
        <w:t>, но менее 300 млн м</w:t>
      </w:r>
      <w:r>
        <w:rPr>
          <w:rFonts w:ascii="Times New Roman"/>
          <w:b w:val="false"/>
          <w:i w:val="false"/>
          <w:color w:val="000000"/>
          <w:vertAlign w:val="superscript"/>
        </w:rPr>
        <w:t>3</w:t>
      </w:r>
      <w:r>
        <w:rPr>
          <w:rFonts w:ascii="Times New Roman"/>
          <w:b w:val="false"/>
          <w:i w:val="false"/>
          <w:color w:val="000000"/>
          <w:sz w:val="28"/>
        </w:rPr>
        <w:t>, свыше 300 млн м</w:t>
      </w:r>
      <w:r>
        <w:rPr>
          <w:rFonts w:ascii="Times New Roman"/>
          <w:b w:val="false"/>
          <w:i w:val="false"/>
          <w:color w:val="000000"/>
          <w:vertAlign w:val="superscript"/>
        </w:rPr>
        <w:t>3</w:t>
      </w:r>
      <w:r>
        <w:rPr>
          <w:rFonts w:ascii="Times New Roman"/>
          <w:b w:val="false"/>
          <w:i w:val="false"/>
          <w:color w:val="000000"/>
          <w:sz w:val="28"/>
        </w:rPr>
        <w:t>, но менее 500 млн м</w:t>
      </w:r>
      <w:r>
        <w:rPr>
          <w:rFonts w:ascii="Times New Roman"/>
          <w:b w:val="false"/>
          <w:i w:val="false"/>
          <w:color w:val="000000"/>
          <w:vertAlign w:val="superscript"/>
        </w:rPr>
        <w:t>3</w:t>
      </w:r>
      <w:r>
        <w:rPr>
          <w:rFonts w:ascii="Times New Roman"/>
          <w:b w:val="false"/>
          <w:i w:val="false"/>
          <w:color w:val="000000"/>
          <w:sz w:val="28"/>
        </w:rPr>
        <w:t xml:space="preserve"> рассчитывается на первый год по следующей формуле:</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1536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где,</w:t>
      </w:r>
    </w:p>
    <w:bookmarkEnd w:id="29"/>
    <w:bookmarkStart w:name="z39"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предельная цена оптовой реализации товарного газа для крупных коммерческих потребителей, тенге за тысячу кубических метров;</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 совокупность средневзвешенных значений, указанных в подпунктах 1) и 2) настоящего пункта, тенге за тысячу кубических метров;</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1,2 – расчетный коэффициент, применяемый уполномоченным органом.</w:t>
      </w:r>
    </w:p>
    <w:bookmarkEnd w:id="32"/>
    <w:bookmarkStart w:name="z42" w:id="33"/>
    <w:p>
      <w:pPr>
        <w:spacing w:after="0"/>
        <w:ind w:left="0"/>
        <w:jc w:val="both"/>
      </w:pPr>
      <w:r>
        <w:rPr>
          <w:rFonts w:ascii="Times New Roman"/>
          <w:b w:val="false"/>
          <w:i w:val="false"/>
          <w:color w:val="000000"/>
          <w:sz w:val="28"/>
        </w:rPr>
        <w:t>
      Предельная цена оптовой реализации на внутреннем рынке Республики Казахстан для крупных коммерческих потребителей, годовой объем потребления товарного газа которых составляет в диапазонах свыше 10 млн м</w:t>
      </w:r>
      <w:r>
        <w:rPr>
          <w:rFonts w:ascii="Times New Roman"/>
          <w:b w:val="false"/>
          <w:i w:val="false"/>
          <w:color w:val="000000"/>
          <w:vertAlign w:val="superscript"/>
        </w:rPr>
        <w:t>3</w:t>
      </w:r>
      <w:r>
        <w:rPr>
          <w:rFonts w:ascii="Times New Roman"/>
          <w:b w:val="false"/>
          <w:i w:val="false"/>
          <w:color w:val="000000"/>
          <w:sz w:val="28"/>
        </w:rPr>
        <w:t>, но менее 100 млн. м</w:t>
      </w:r>
      <w:r>
        <w:rPr>
          <w:rFonts w:ascii="Times New Roman"/>
          <w:b w:val="false"/>
          <w:i w:val="false"/>
          <w:color w:val="000000"/>
          <w:vertAlign w:val="superscript"/>
        </w:rPr>
        <w:t>3</w:t>
      </w:r>
      <w:r>
        <w:rPr>
          <w:rFonts w:ascii="Times New Roman"/>
          <w:b w:val="false"/>
          <w:i w:val="false"/>
          <w:color w:val="000000"/>
          <w:sz w:val="28"/>
        </w:rPr>
        <w:t>, свыше 100 млн м</w:t>
      </w:r>
      <w:r>
        <w:rPr>
          <w:rFonts w:ascii="Times New Roman"/>
          <w:b w:val="false"/>
          <w:i w:val="false"/>
          <w:color w:val="000000"/>
          <w:vertAlign w:val="superscript"/>
        </w:rPr>
        <w:t>3</w:t>
      </w:r>
      <w:r>
        <w:rPr>
          <w:rFonts w:ascii="Times New Roman"/>
          <w:b w:val="false"/>
          <w:i w:val="false"/>
          <w:color w:val="000000"/>
          <w:sz w:val="28"/>
        </w:rPr>
        <w:t>, но менее 300 млн м</w:t>
      </w:r>
      <w:r>
        <w:rPr>
          <w:rFonts w:ascii="Times New Roman"/>
          <w:b w:val="false"/>
          <w:i w:val="false"/>
          <w:color w:val="000000"/>
          <w:vertAlign w:val="superscript"/>
        </w:rPr>
        <w:t>3</w:t>
      </w:r>
      <w:r>
        <w:rPr>
          <w:rFonts w:ascii="Times New Roman"/>
          <w:b w:val="false"/>
          <w:i w:val="false"/>
          <w:color w:val="000000"/>
          <w:sz w:val="28"/>
        </w:rPr>
        <w:t>, свыше 300 млн м</w:t>
      </w:r>
      <w:r>
        <w:rPr>
          <w:rFonts w:ascii="Times New Roman"/>
          <w:b w:val="false"/>
          <w:i w:val="false"/>
          <w:color w:val="000000"/>
          <w:vertAlign w:val="superscript"/>
        </w:rPr>
        <w:t>3</w:t>
      </w:r>
      <w:r>
        <w:rPr>
          <w:rFonts w:ascii="Times New Roman"/>
          <w:b w:val="false"/>
          <w:i w:val="false"/>
          <w:color w:val="000000"/>
          <w:sz w:val="28"/>
        </w:rPr>
        <w:t>, но менее 500 млн м</w:t>
      </w:r>
      <w:r>
        <w:rPr>
          <w:rFonts w:ascii="Times New Roman"/>
          <w:b w:val="false"/>
          <w:i w:val="false"/>
          <w:color w:val="000000"/>
          <w:vertAlign w:val="superscript"/>
        </w:rPr>
        <w:t>3</w:t>
      </w:r>
      <w:r>
        <w:rPr>
          <w:rFonts w:ascii="Times New Roman"/>
          <w:b w:val="false"/>
          <w:i w:val="false"/>
          <w:color w:val="000000"/>
          <w:sz w:val="28"/>
        </w:rPr>
        <w:t>, на каждый последующий год рассчитывается по следующей формуле:</w:t>
      </w:r>
    </w:p>
    <w:bookmarkEnd w:id="33"/>
    <w:bookmarkStart w:name="z43"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1625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25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где,</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предельная цена оптовой реализации товарного газа для крупных коммерческих потребителей на последующие годы, тенге за тысячу кубических метров;</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предельная цена оптовой реализации товарного газа для крупных коммерческих потребителей за предыдущий год, тенге за тысячу кубических метров;</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r – расчетный коэффициент в пределах 1,2 – 1,75, который будет применяться уполномоченным органом с учетом уровня утвержденной предельной цены оптовой реализации на предыдущий календарный год до достижения в четырехлетний период уровня предельной цены оптовой реализации товарного газа на внутреннем рынке Республики Казахстан, формируемой по принципу экспортного нетбэка.</w:t>
      </w:r>
    </w:p>
    <w:bookmarkEnd w:id="38"/>
    <w:bookmarkStart w:name="z48" w:id="39"/>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формируемая по принципу экспортного нетбэка рассчитывается по следующей формуле:</w:t>
      </w:r>
    </w:p>
    <w:bookmarkEnd w:id="39"/>
    <w:bookmarkStart w:name="z4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384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48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предельная цена оптовой реализации товарного газа на внутреннем рынке Республики Казахстан, формируемая по принципу экспортного нетбэка, в тенге за тысячу кубических метров;</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87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6300" cy="317500"/>
                    </a:xfrm>
                    <a:prstGeom prst="rect">
                      <a:avLst/>
                    </a:prstGeom>
                  </pic:spPr>
                </pic:pic>
              </a:graphicData>
            </a:graphic>
          </wp:inline>
        </w:drawing>
      </w:r>
    </w:p>
    <w:p>
      <w:pPr>
        <w:spacing w:after="0"/>
        <w:ind w:left="0"/>
        <w:jc w:val="left"/>
      </w:pPr>
      <w:r>
        <w:rPr>
          <w:rFonts w:ascii="Times New Roman"/>
          <w:b w:val="false"/>
          <w:i w:val="false"/>
          <w:color w:val="000000"/>
          <w:sz w:val="28"/>
        </w:rPr>
        <w:t>– средневзвешенная экспортная цена товарного газа на границе Республики Казахстан с Китайской Народной Республикой за предыдущий календарный год, которая формируется исходя из сведений, получаемых от национального оператора, в тенге за тысячу кубических метров;</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901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292100"/>
                    </a:xfrm>
                    <a:prstGeom prst="rect">
                      <a:avLst/>
                    </a:prstGeom>
                  </pic:spPr>
                </pic:pic>
              </a:graphicData>
            </a:graphic>
          </wp:inline>
        </w:drawing>
      </w:r>
    </w:p>
    <w:p>
      <w:pPr>
        <w:spacing w:after="0"/>
        <w:ind w:left="0"/>
        <w:jc w:val="left"/>
      </w:pPr>
      <w:r>
        <w:rPr>
          <w:rFonts w:ascii="Times New Roman"/>
          <w:b w:val="false"/>
          <w:i w:val="false"/>
          <w:color w:val="000000"/>
          <w:sz w:val="28"/>
        </w:rPr>
        <w:t>– расходы на транспортировку товарного газа по системе магистральных газопроводов от недропользователя до границы с Китайской Народной Республикой, которая формируется исходя из сведений, получаемых от национального оператора, в тенге за тысячу кубических метров;</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 сумма расходов на транспортировку газа по магистральным газопроводам, определяемая в соответствии с тарифами, утвержденными уполномоченным органом, в тенге за тысячу кубических метров.</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В случае, если предельная цена оптовой реализации товарного газа на внутреннем рынке Республики Казахстан для крупных коммерческих потребителей превышает предельную цену оптовой реализации товарного газа на внутреннем рынке Республики Казахстан, формируемую по принципу экспортного нетбэка, то применяется предельная цена оптовой реализации товарного газа на внутреннем рынке Республики Казахстан, формируемая по принципу экспортного нетбэка.</w:t>
      </w:r>
    </w:p>
    <w:bookmarkEnd w:id="45"/>
    <w:bookmarkStart w:name="z55" w:id="46"/>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для крупных коммерческих потребителей, годовой объем потребления товарного газа которых составляет свыше 500 млн м</w:t>
      </w:r>
      <w:r>
        <w:rPr>
          <w:rFonts w:ascii="Times New Roman"/>
          <w:b w:val="false"/>
          <w:i w:val="false"/>
          <w:color w:val="000000"/>
          <w:vertAlign w:val="superscript"/>
        </w:rPr>
        <w:t>3</w:t>
      </w:r>
      <w:r>
        <w:rPr>
          <w:rFonts w:ascii="Times New Roman"/>
          <w:b w:val="false"/>
          <w:i w:val="false"/>
          <w:color w:val="000000"/>
          <w:sz w:val="28"/>
        </w:rPr>
        <w:t>, лиц, осуществляющих цифровой майнинг, или лиц по производству электрической энергии для осуществления цифрового майнинга, на первый и последующие годы рассчитывается согласно формуле предельной цены оптовой реализации товарного газа на внутреннем рынке Республики Казахстан, формируемой по принципу экспортного нетбэка.";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57" w:id="47"/>
    <w:p>
      <w:pPr>
        <w:spacing w:after="0"/>
        <w:ind w:left="0"/>
        <w:jc w:val="both"/>
      </w:pPr>
      <w:r>
        <w:rPr>
          <w:rFonts w:ascii="Times New Roman"/>
          <w:b w:val="false"/>
          <w:i w:val="false"/>
          <w:color w:val="000000"/>
          <w:sz w:val="28"/>
        </w:rPr>
        <w:t>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разработанный в соответствии с пунктом 7 настоящих Правил, не может предусматривать увеличение уровня предельной цены товарного газа по сравнению с текущим уровнем более чем на пятнадцать процентов в течение одного календарного года.</w:t>
      </w:r>
    </w:p>
    <w:bookmarkEnd w:id="47"/>
    <w:bookmarkStart w:name="z58" w:id="48"/>
    <w:p>
      <w:pPr>
        <w:spacing w:after="0"/>
        <w:ind w:left="0"/>
        <w:jc w:val="both"/>
      </w:pPr>
      <w:r>
        <w:rPr>
          <w:rFonts w:ascii="Times New Roman"/>
          <w:b w:val="false"/>
          <w:i w:val="false"/>
          <w:color w:val="000000"/>
          <w:sz w:val="28"/>
        </w:rPr>
        <w:t>
      Положения настоящего пункта не распространяются на предельные цены оптовой реализации товарного газа на внутреннем рынке Республики Казахстан для промышленных потребителей-инвесторов, потребителей, включенных в перечень электростанций, крупных коммерческих потребителей, лиц, осуществляющих цифровой майнинг, или лиц по производству электрической энергии для осуществления цифрового майнинга.";</w:t>
      </w:r>
    </w:p>
    <w:bookmarkEnd w:id="48"/>
    <w:bookmarkStart w:name="z59"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9"/>
    <w:bookmarkStart w:name="z60" w:id="50"/>
    <w:p>
      <w:pPr>
        <w:spacing w:after="0"/>
        <w:ind w:left="0"/>
        <w:jc w:val="both"/>
      </w:pPr>
      <w:r>
        <w:rPr>
          <w:rFonts w:ascii="Times New Roman"/>
          <w:b w:val="false"/>
          <w:i w:val="false"/>
          <w:color w:val="000000"/>
          <w:sz w:val="28"/>
        </w:rPr>
        <w:t>
      абзац первый ислючить;</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62" w:id="51"/>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пунктами 3-1</w:t>
      </w:r>
      <w:r>
        <w:rPr>
          <w:rFonts w:ascii="Times New Roman"/>
          <w:b w:val="false"/>
          <w:i w:val="false"/>
          <w:color w:val="000000"/>
          <w:sz w:val="28"/>
        </w:rPr>
        <w:t xml:space="preserve">, 3-2 и </w:t>
      </w:r>
      <w:r>
        <w:rPr>
          <w:rFonts w:ascii="Times New Roman"/>
          <w:b w:val="false"/>
          <w:i w:val="false"/>
          <w:color w:val="000000"/>
          <w:sz w:val="28"/>
        </w:rPr>
        <w:t>3-3</w:t>
      </w:r>
      <w:r>
        <w:rPr>
          <w:rFonts w:ascii="Times New Roman"/>
          <w:b w:val="false"/>
          <w:i w:val="false"/>
          <w:color w:val="000000"/>
          <w:sz w:val="28"/>
        </w:rPr>
        <w:t xml:space="preserve"> статьи 20 Закона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промышленного потребителя-инвестора, приобретающего товарный газ для использования в качестве топлива и (или) сырья в промышленном производстве в целях реализации инвестиционного проекта по производству нефтегазохимической продукции, не позднее тридцати рабочих дней до даты введения его в эксплуатацию, а также для потребителя, включенного в перечень электростанций, не позднее тридцати рабочих дней до даты введения в эксплуатацию новых электрических мощностей, с последующим утверждением на пятилетний период с 1 июля и при необходимости корректируются ежегодно 1 июля.</w:t>
      </w:r>
    </w:p>
    <w:bookmarkEnd w:id="51"/>
    <w:bookmarkStart w:name="z63" w:id="52"/>
    <w:p>
      <w:pPr>
        <w:spacing w:after="0"/>
        <w:ind w:left="0"/>
        <w:jc w:val="both"/>
      </w:pPr>
      <w:r>
        <w:rPr>
          <w:rFonts w:ascii="Times New Roman"/>
          <w:b w:val="false"/>
          <w:i w:val="false"/>
          <w:color w:val="000000"/>
          <w:sz w:val="28"/>
        </w:rPr>
        <w:t>
      Уполномоченный орган по согласованию с уполномоченным органом, осуществляющим руководство в соответствующих сферах естественных монополий, ежегодно в срок не позднее 15 мая утверждает предельные цены оптовой реализации товарного газа на внутреннем рынке на предстоящий год, предназначенного для последующей реализации:</w:t>
      </w:r>
    </w:p>
    <w:bookmarkEnd w:id="52"/>
    <w:bookmarkStart w:name="z64" w:id="53"/>
    <w:p>
      <w:pPr>
        <w:spacing w:after="0"/>
        <w:ind w:left="0"/>
        <w:jc w:val="both"/>
      </w:pPr>
      <w:r>
        <w:rPr>
          <w:rFonts w:ascii="Times New Roman"/>
          <w:b w:val="false"/>
          <w:i w:val="false"/>
          <w:color w:val="000000"/>
          <w:sz w:val="28"/>
        </w:rPr>
        <w:t>
      крупным коммерческим потребителям;</w:t>
      </w:r>
    </w:p>
    <w:bookmarkEnd w:id="53"/>
    <w:bookmarkStart w:name="z65" w:id="54"/>
    <w:p>
      <w:pPr>
        <w:spacing w:after="0"/>
        <w:ind w:left="0"/>
        <w:jc w:val="both"/>
      </w:pPr>
      <w:r>
        <w:rPr>
          <w:rFonts w:ascii="Times New Roman"/>
          <w:b w:val="false"/>
          <w:i w:val="false"/>
          <w:color w:val="000000"/>
          <w:sz w:val="28"/>
        </w:rPr>
        <w:t>
      лицам, осуществляющим цифровой майнинг, или лицам по производству электрической энергии для осуществления цифрового майнинга.";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новой редакции:</w:t>
      </w:r>
    </w:p>
    <w:bookmarkStart w:name="z67" w:id="55"/>
    <w:p>
      <w:pPr>
        <w:spacing w:after="0"/>
        <w:ind w:left="0"/>
        <w:jc w:val="both"/>
      </w:pPr>
      <w:r>
        <w:rPr>
          <w:rFonts w:ascii="Times New Roman"/>
          <w:b w:val="false"/>
          <w:i w:val="false"/>
          <w:color w:val="000000"/>
          <w:sz w:val="28"/>
        </w:rPr>
        <w:t>
      "20. Уровень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на планируемый период не может предусматривать увеличение уровня предельной цены сжиженного нефтяного газа по сравнению с текущим уровнем более чем на двадцать процентов в течение одного календарного года.";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новой редакции:</w:t>
      </w:r>
    </w:p>
    <w:bookmarkStart w:name="z69" w:id="56"/>
    <w:p>
      <w:pPr>
        <w:spacing w:after="0"/>
        <w:ind w:left="0"/>
        <w:jc w:val="both"/>
      </w:pPr>
      <w:r>
        <w:rPr>
          <w:rFonts w:ascii="Times New Roman"/>
          <w:b w:val="false"/>
          <w:i w:val="false"/>
          <w:color w:val="000000"/>
          <w:sz w:val="28"/>
        </w:rPr>
        <w:t>
      "22. Уполномоченный орган, осуществляющий руководство в соответствующих сферах естественных монополий, запрашивает в уполномоченном органе дополнительную информацию, необходимую для согласования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для потребителей, включенных в перечень электростанций, для крупных коммерческих потребителей, для лиц, осуществляющих цифровой майнинг, или лиц по производству электрической энергии для осуществления цифрового майнинга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которая предоставляется в срок не позднее пяти календарных дней с даты получения такого запроса.</w:t>
      </w:r>
    </w:p>
    <w:bookmarkEnd w:id="56"/>
    <w:bookmarkStart w:name="z70" w:id="57"/>
    <w:p>
      <w:pPr>
        <w:spacing w:after="0"/>
        <w:ind w:left="0"/>
        <w:jc w:val="both"/>
      </w:pPr>
      <w:r>
        <w:rPr>
          <w:rFonts w:ascii="Times New Roman"/>
          <w:b w:val="false"/>
          <w:i w:val="false"/>
          <w:color w:val="000000"/>
          <w:sz w:val="28"/>
        </w:rPr>
        <w:t>
      23. В случае непредставления уполномоченным органом в установленные сроки информации, указанной в пунктах 10, 11, 12, 21 и 22 настоящих Правил, уполномоченный орган, осуществляющий руководство в соответствующих сферах естественных монополий, отказывает в согласовании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для потребителей, включенных в перечень электростанций, для крупных коммерческих потребителей, для лиц, осуществляющих цифровой майнинг, или лиц по производству электрической энергии для осуществления цифрового майнинга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57"/>
    <w:bookmarkStart w:name="z71" w:id="58"/>
    <w:p>
      <w:pPr>
        <w:spacing w:after="0"/>
        <w:ind w:left="0"/>
        <w:jc w:val="both"/>
      </w:pPr>
      <w:r>
        <w:rPr>
          <w:rFonts w:ascii="Times New Roman"/>
          <w:b w:val="false"/>
          <w:i w:val="false"/>
          <w:color w:val="000000"/>
          <w:sz w:val="28"/>
        </w:rPr>
        <w:t>
      При этом уполномоченный орган по согласованию с уполномоченным органом, осуществляющим руководство в соответствующих сферах естественных монополий, в сроки, указанные в пунктах 13, 14 и 24 настоящих Правил, утверждает предельные цены оптовой реализации товарного газа на внутреннем рынке Республики Казахстан, в том числе для промышленных потребителей-инвесторов, для потребителей, включенных в перечень электростанций, для крупных коммерческих потребителей, для лиц, осуществляющих цифровой майнинг, или лиц по производству электрической энергии для осуществления цифрового майнинга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на уровне текущего периода.".</w:t>
      </w:r>
    </w:p>
    <w:bookmarkEnd w:id="58"/>
    <w:bookmarkStart w:name="z72" w:id="59"/>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59"/>
    <w:bookmarkStart w:name="z73" w:id="6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0"/>
    <w:bookmarkStart w:name="z74" w:id="61"/>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61"/>
    <w:bookmarkStart w:name="z75" w:id="6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2"/>
    <w:bookmarkStart w:name="z76" w:id="6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3"/>
    <w:bookmarkStart w:name="z77" w:id="6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79"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0"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