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03c3" w14:textId="58f0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13 октября 2020 года № 386 НҚ "Об утверждении Правил функционирования единого шлюза доступа к Интернету и единого шлюза электронной почты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26 апреля 2023 года № 79/НҚ. Зарегистрирован в Министерстве юстиции Республики Казахстан 3 мая 2023 года № 32414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октября 2020 года № 386 НҚ "Об утверждении Правил функционирования единого шлюза доступа к Интернету и единого шлюза электронной почты "электронного правительства" (зарегистрирован в Реестре государственной регистрации нормативных правовых актов за № 21436)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единого шлюза доступа к Интернету,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единого шлюза доступа к Интернету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функционирования единого шлюза доступа к Интернету (далее – ЕШДИ).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Подключение локальных, ведомственных и корпоративных сетей телекоммуникаций государственных органов, органов местного самоуправления, государственных юридических лиц, субъектов квазигосударственного сектора, а также собственников или владельцев критически важных объектов информационно-коммуникационной инфраструктуры к Интернету осуществляется операторами связи через ЕШДИ.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Специальными государственными и правоохранительными органами в оперативных целях, Национальным банком Республики Казахстан в соответствии с пунктом 3 статьи 30 Закона могут быть организованы подключения к Интернету без использования ЕШДИ.";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Оператор связи на ИР "Каталог IP-адресов" (https://catalog.sts.kz), на постоянной основе актуализирует информацию о Пользователях.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на оборудовании ЕШДИ IP-адресов Пользователей, отсутствующих на ИР "Каталог IP-адресов" (https://catalog.sts.kz), ГТС направляет оповещение оператору связи посредством электронной почты, с приложением списка данных IP-адресов.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связи в течение пяти рабочих дней, с момента получения оповещения от ГТС, актуализирует список IP-адресов в ИР "Каталог IP-адресов".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оператором связи в указанный срок, ГТС блокирует доступ к Интернет с IP-адресов, указанных в оповещении.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Разблокировка IP-адресов производится после актуализации данных оператором связи.";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Пользователь, не менее одного раза в год, предоставляет в ГТС список категорий ИР и списки сетевых адресов сетей телекоммуникаций Пользователя для применения на оборудовании ЕШДИ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133 Единых требований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Пользователь, посредством СОЗ, направляет в ГТС заявку, подписанную электронной цифровой подписью юридического лица, с приложением списка категорий ИР и списка сетевых адресов сетей телекоммуникаций Пользователя.";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 и 15-2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ГТС, на основе запроса Пользователя, согласно предоставленным им спискам категорий ИР и сетевых адресов сетей телекоммуникаций, открывает на оборудовании ЕШДИ необходимый для него доступ к Интернету сроком на один календарный год.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Запросы Пользователя, связанные с открытием на оборудовании ЕШДИ необходимого доступа к Интернету на основании списка категорий ИР и сетевых адресов сетей телекоммуникаций, а также для использования частных виртуальных сетей (VPN) и иных сетевых сервисов, которые несут угрозы и риски информационной безопасности для Пользователя, оформляются им путем направления в ГТС, посредством СОЗ, заявки, подписанной электронной цифровой подписью юридического лица.";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ГТС, в течение десяти рабочих дней после получения от Пользователя списка категорий ИР и списков сетевых адресов сетей телекоммуникаций Пользователя, применяет соответствующие политики на оборудовании ЕШДИ и уведомляет Пользователя о проведенном мероприятии.";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Для своевременного обнаружения и ограничения доступа к вредоносному контенту, ГТС реализует соответствующие технические мероприятия на оборудовании ЕШДИ для проведения анализа зашифрованного трафика Пользователей, за исключением следующих категорий ИР: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финансы и банки (finance and banking);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 и организации (government and legal organizations);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красота и здоровье (health and wellness);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личная информация (personal privacy);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сервисы видео-конференц-связи;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сервисы обновления сигнатур средств ИБ;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сервисы обновления операционных систем.";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единого шлюза электронной почты "электронного правительства",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единого шлюза электронной почты "электронного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функционирования единого шлюза электронной почты "электронного правительства" (далее – ЕШЭП).";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обнаружении нештатной активности трафика электронных почтовых систем, подключенных к ЕШЭП, ГТС приостанавливает их функционирование в целях предотвращения внесения IP-адресов ЕШЭП в глобальные базы не доверенных IP-адресов и доменов, с последующим уведомлением собственника электронной почтовой системы о блокировке.".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