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81cee" w14:textId="8781ce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аккредитации цифровых майнинговых пулов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11 апреля 2023 года № 142/НҚ. Зарегистрирован в Министерстве юстиции Республики Казахстан 14 апреля 2023 года № 32315.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 - в редакции приказа Заместителя Премьер-Министра – Министра искусственного интеллекта и цифрового развития РК от 02.06.2026  </w:t>
      </w:r>
      <w:r>
        <w:rPr>
          <w:rFonts w:ascii="Times New Roman"/>
          <w:b w:val="false"/>
          <w:i w:val="false"/>
          <w:color w:val="ff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14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пункта 3 статьи 4 Закона Республики Казахстан "О цифровых активах в Республике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аккредитации цифровых майнинговых пулов.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электронной промышленности и индустрии цифровых активов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апреля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апреля 2023 года № 142/НҚ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аккредитации цифровых майнинговых пулов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цифрового развития, инноваций и аэрокосмической промышленности РК от 13.09.2023 </w:t>
      </w:r>
      <w:r>
        <w:rPr>
          <w:rFonts w:ascii="Times New Roman"/>
          <w:b w:val="false"/>
          <w:i w:val="false"/>
          <w:color w:val="ff0000"/>
          <w:sz w:val="28"/>
        </w:rPr>
        <w:t>№ 404/НҚ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4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аккредитации цифровых майнинговых пулов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4 Закона Республики Казахстан "О цифровых активах в Республике Казахстан" (далее – Закон) и определяют порядок аккредитации цифровых майнинговых пулов.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– процедура официального признания органом по аккредитации компетентности заявителя выполнять работы в определенной области оценки соответствия;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сервис контроля доступа к персональным данным (далее – государственный сервис) – услуга, обеспечивающая информационное взаимодействие собственников и (или) операторов, третьих лиц с субъектом персональных данных и уполномоченным органом при доступе к персональным данным, содержащимся в объектах информатизации государственных органов и (или) государственных юридических лиц, включая получение от субъекта персональных данных согласия на сбор, обработку персональных данных или их передачу третьим лицам;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услугополучатель –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заявление – одна из форм обращения, содержащая ходатайство участника административной процедуры о содействии в реализации его прав, свобод и законных интересов или прав, свобод и законных интересов других лиц;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цифровых активов (далее – услугодатель) – центральный исполнительный орган, осуществляющий руководство и межотраслевую координацию в сфере цифровых активов</w:t>
      </w:r>
    </w:p>
    <w:bookmarkEnd w:id="16"/>
    <w:bookmarkStart w:name="z15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цифровой майнинговый пул – юридическое лицо, аккредитованное в соответствии с законодательством Республики Казахстан о цифровых активах, предоставляющее услугу объединения мощностей аппаратно-программного комплекса для цифрового майнинга цифровых майнеров, осуществляющее распределение между цифровыми майнерами цифровых активов, возникших (созданных) в результате их совместной деятельности;";;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цифровая система - функционально связанный комплекс цифровых ресурсов, использующий объекты цифровой инфраструктуры с целью обеспечения создания, сбора, обработки, хранения и распространения цифровых данных, а также автоматизирующий взаимодействие субъектов цифровой среды и (или) обеспечивающий оказание услуг в цифровой среде;</w:t>
      </w:r>
    </w:p>
    <w:bookmarkStart w:name="z15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аккредитации цифровых майниговых пулов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Аккредитация цифровых майнинговых пулов осуществляется на территории Республики Казахстан. Цифровой майнинговый пул аккредитуется сроком на один год.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Обязательными условиями для аккредитации цифрового майнингового пула являются: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физическое местонахождение аппаратно-программного комплекса цифрового майнингового пула на территории Республики Казахстан;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протоколов испытаний с положительными результатами испытаний на соответствие требованиям кибербезопасности;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не менее одного резервного аппаратно-программного комплекса, находящегося в ином населенном пункте Республики Казахстан (столице, городе республиканского значения, городе областного значения, городе районного значения);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в цифровой системе цифрового майнингового пула службы технической поддержки и обращения клиентов в круглосуточном режиме;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пользовательского интерфейса на государственном, русском и английском языках цифровой системы цифрового майнингового пула;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интеграция с государственным сервисом.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получения государственной услуги услугополучатель направляет посредством объекта информатизации "Государственная база данных "Е-лицензирование" www.elicense.kz, (далее – портал) или через канцелярию услугодателя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документов и сведений, изложенных в Перечне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сдаче услугополучателем документов в "личном кабинете" отображается статус о принятии запроса на оказание государственной услуги, а также уведомление с указанием даты и времени получения результата оказания государственной услуги.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Канцелярия услугодателя в день поступления документов осуществляет их прием и регистрацию.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услугополучателем неполного пакета документов и (или) документов с истекшим сроком действия, работник услугодателя в течение 2 (два) рабочих дней с момента регистрации документов направляет услугополучателю мотивированный отказ в дальнейшем рассмотрении заявления посредством портала или работник канцелярии отказывает в приеме заявления. 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представлении услугополучателем полного пакета документов услугодатель рассматривает представленные документы в течение 5 (пять) рабочих дней с момента регистрации документов на соответствие требованиям настоящих Правил.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выявлении оснований для отказа в оказании государственной услуги услугодатель уведомляет услугополучателя о предварительном решении об отказе, а также времени и месте (способе) проведения заслушивания для предоставления услугополучателю возможности выразить позицию по предварительному решению.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(два) рабочих дней со дня уведомления.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 результатам заслушивания услугодатель выдает свидетельство об аккредитации цифрового майнингового пула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направляет мотивированный отказ в оказании государственной услуги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"личный кабинет" услугополучателя в форме электронного документа, подписанного ЭЦП уполномоченного лица услугодателя либо лица его замещающего или через канцелярию услугодателя.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представлении услугополучателем полного пакета документов для переоформления свидетельства об аккредитации цифрового майнингового пула услугодатель рассматривает представленные документы в течение 2 (два) рабочих дней с момента регистрации документов на соответствие требованиям настоящих Правил.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проверки при несоответствии представленных документов (или) представления документов с истекшим сроком действия услугодатель направляет услугополучателю мотивированный отказ в дальнейшем рассмотрении заявления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подписанным ЭЦП уполномоченного лица услугодателя либо лица его замещающего посредством портала или через канцелярию услугодателя.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Сведения документов, удостоверяющих личность услугополучателя, о государственной регистрации (перерегистрации) цифрового майнингового пула в Республике Казахстан, о протоколе испытаний с положительным результатом по соответствию требованиям кибербезопасности аппаратно-программного комплекса юридического лица, подлежащего аккредитации в качестве цифрового майнингового пула, содержащиеся в государственных цифровых системах, услугодатель получает из соответствующих государственных цифровых систем через шлюз "цифрового правительства".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14 июня 2013 года № 452 "Об утверждении Правил внесения данных в цифровую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внесении изменений и (или) дополнений в Правила услугодатель направляет оператору цифровой инфраструктуры "цифрового правительства", в Единый контакт-центр информацию об изменениях и (или) дополнениях в течении (3) трех рабочих дней.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должностных лиц по вопросам оказания государственной услуги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услугодатель,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3 (три)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bookmarkEnd w:id="47"/>
    <w:bookmarkStart w:name="z14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подлежит рассмотрению в течение 5 (пять) рабочих дней со дня ее регистрации.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00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(пятнадцать) рабочих дней со дня ее регистрации.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майнинговых пулов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1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ff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аккредитовать (переоформить)____________________________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юридического лица, бизнес-идентификационный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для осуществления деятельности по предоставлению услуги объединения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мощностей аппаратно-программного комплекса для цифрового майнинга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цифровых майнеров, осуществлению распределения между цифровыми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майнерами цифровых активов, возникших (созданных) в результате совместной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Местонахождение:__________________________________________________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местонахождение аппаратно-программного комплекса (сервера)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цифрового майнингового пула на территории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Вся указанная информация, а также прилагаемые документы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достоверными и действительными "___" 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 на сбор и обработку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"О персональных данных и их защите".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цифровая подпись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 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майнинговых пулов</w:t>
            </w:r>
          </w:p>
        </w:tc>
      </w:tr>
    </w:tbl>
    <w:bookmarkStart w:name="z6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услуги:</w:t>
      </w:r>
      <w:r>
        <w:br/>
      </w:r>
      <w:r>
        <w:rPr>
          <w:rFonts w:ascii="Times New Roman"/>
          <w:b/>
          <w:i w:val="false"/>
          <w:color w:val="000000"/>
        </w:rPr>
        <w:t>"Аккредитация цифровых майнинговых пулов"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с изменениями, внесенными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ff0000"/>
          <w:sz w:val="28"/>
        </w:rPr>
        <w:t>№ 276/НҚ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Посредством цифрового объекта "Государственная база данных "Е-лицензирование" www.elicense.kz или через канцелярию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об аккредитации цифрового майнингового пула – 10 (десять)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переоформление свидетельства об аккредитации цифрового майнингового пула – 5 (пять)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или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об аккредитации цифрового майнингового пула, переоформленное свидетельство об аккредитации цифрового майнингового пула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с 8.00 до 17.30 часов с перерывом на обед с 13.00 до 14.30 часов, кроме выходных и праздничных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получения свидетельства об аккредитации цифрового майнингового пула через канцелярию: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в форме,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письмо, подтверждающее наличие не менее одного резервного аппаратно-программного комплекса, находящегося в ином населенном пункте Республики Казахстан (столице, городе республиканского значения, городе областного значения, городе районного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договора об оказании услуг по предоставлению в аренду серверного помещения с подтверждением обеспечения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письмо, подтверждающее наличие в цифровой системе цифрового майнингового пула службы технической поддержки и обращения клиентов в круглосуточном режиме;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письмо, подтверждающее наличие пользовательского интерфейса на государственном, русском и английском языках цифровой системы цифрового майнингового пула;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положительного письма об интеграции с государственным сервисом от уполномоченного органа в сфере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получения свидетельства об аккредитации цифрового майнингового пула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заявление в форме электронного документа,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письма, подтверждающая наличие не менее одного резервного аппаратно-программного комплекса, находящегося в ином населенном пункте Республики Казахстан (столице, городе республиканского значения, городе областного значения, городе районного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договора об оказании услуг по предоставлению в аренду серверного помещения с подтверждением обеспечения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письма, подтверждающая наличие в цифровой системе цифрового майнингового пула службы технической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письма, подтверждающая наличие пользовательского интерфейса на государственном, русском и английском языках цифровой системы цифрового майнингового пула;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положительного письма об интеграции с государственным сервисом от уполномоченного органа в сфере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Для переоформления свидетельства об аккредитации цифрового майнингового пула через канцелярию: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заявление в форме,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договора об оказании услуг по предоставлению в аренду серверного помещения с подтверждением обеспечения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Для переоформления свидетельства об аккредитации цифрового майнингового пула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заявление в форме электронного документа,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договора об оказании услуг по предоставлению в аренду серверного помещения с подтверждением обеспечения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аккредитации цифрового майнингового пула;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Услугополучатель подает запрос для получения государственной услуги в электронной форме через портал при условии наличия у него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Услугополучатель получает государственную услугу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Контактные телефоны справочных служб по вопросам оказания государственной услуги указаны на интернет-ресурсе Министерства искусственного интеллекта и цифрового развития Республики Казахстан moap@mdai.gov.kz.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Номера телефонов единого контакт-центра по вопросам оказания государственных услуг – 1414,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майнинговых пулов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2908300" cy="300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аккредитации цифрового майнингового пула</w:t>
      </w:r>
    </w:p>
    <w:bookmarkEnd w:id="55"/>
    <w:p>
      <w:pPr>
        <w:spacing w:after="0"/>
        <w:ind w:left="0"/>
        <w:jc w:val="both"/>
      </w:pPr>
      <w:bookmarkStart w:name="z110" w:id="56"/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цифрового майнингового пула и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признать аккредитованным в соответствии с Правилами аккредитации цифрового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майнингового пула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цифрового майнингового пула)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местонахождение аппаратно-программного комплекса (сервера)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цифрового майнингового пула на территории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настоящего свидетельства об аккредитации цифрового майнингового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пула составляет один год со дня выдачи и действует на всей территории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Казахстан.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 руководителя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выдачи: "__" 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майнинговых пулов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tbl>
                  <w:tblPr>
                    <w:tblW w:w="0" w:type="auto"/>
                    <w:tblCellSpacing w:w="0" w:type="auto"/>
                    <w:tblInd w:w="115" w:type="dxa"/>
                    <w:tblBorders>
                      <w:top w:val="single" w:color="cfcfcf" w:sz="5"/>
                      <w:left w:val="single" w:color="cfcfcf" w:sz="5"/>
                      <w:bottom w:val="single" w:color="cfcfcf" w:sz="5"/>
                      <w:right w:val="single" w:color="cfcfcf" w:sz="5"/>
                      <w:insideH w:val="none"/>
                      <w:insideV w:val="none"/>
                    </w:tblBorders>
                    <w:tblLayout w:type="fixed"/>
                  </w:tblPr>
                  <w:tblGrid>
                    <w:gridCol w:w="4100"/>
                    <w:gridCol w:w="4100"/>
                    <w:gridCol w:w="4100"/>
                  </w:tblGrid>
                  <w:tr>
                    <w:trPr>
                      <w:trHeight w:val="30" w:hRule="atLeast"/>
                    </w:trPr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
Наименование организации</w:t>
                        </w:r>
                      </w:p>
                    </w:tc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</w:p>
                    </w:tc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
Наименование организации</w:t>
                        </w:r>
                      </w:p>
                    </w:tc>
                  </w:tr>
                </w:tbl>
                <w:p/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Номер №: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Дата выдачи: Наименование заявителя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tbl>
                  <w:tblPr>
                    <w:tblW w:w="0" w:type="auto"/>
                    <w:tblCellSpacing w:w="0" w:type="auto"/>
                    <w:tblInd w:w="115" w:type="dxa"/>
                    <w:tblBorders>
                      <w:top w:val="single" w:color="cfcfcf" w:sz="5"/>
                      <w:left w:val="single" w:color="cfcfcf" w:sz="5"/>
                      <w:bottom w:val="single" w:color="cfcfcf" w:sz="5"/>
                      <w:right w:val="single" w:color="cfcfcf" w:sz="5"/>
                      <w:insideH w:val="none"/>
                      <w:insideV w:val="none"/>
                    </w:tblBorders>
                    <w:tblLayout w:type="fixed"/>
                  </w:tblPr>
                  <w:tblGrid>
                    <w:gridCol w:w="4100"/>
                    <w:gridCol w:w="4100"/>
                    <w:gridCol w:w="4100"/>
                  </w:tblGrid>
                  <w:tr>
                    <w:trPr>
                      <w:trHeight w:val="30" w:hRule="atLeast"/>
                    </w:trPr>
                    <w:tc>
                      <w:tcPr>
                        <w:tcW w:w="0" w:type="auto"/>
                        <w:gridSpan w:val="3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
Наименование услугодателя, рассмотрев Ваше заявление об аккредитации цифрового</w:t>
                        </w: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майнингового пула и прилагаемые к нему документы, сообщает следующее.</w:t>
                        </w: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Причина отказа</w:t>
                        </w:r>
                      </w:p>
                    </w:tc>
                  </w:tr>
                  <w:tr>
                    <w:trPr>
                      <w:trHeight w:val="30" w:hRule="atLeast"/>
                    </w:trPr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
Должность подписывающего</w:t>
                        </w:r>
                      </w:p>
                    </w:tc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</w:p>
                    </w:tc>
                    <w:tc>
                      <w:tcPr>
                        <w:tcW w:w="4100" w:type="dxa"/>
                        <w:tcBorders>
                          <w:top w:val="single" w:color="cfcfcf" w:sz="5"/>
                          <w:left w:val="single" w:color="cfcfcf" w:sz="5"/>
                          <w:bottom w:val="single" w:color="cfcfcf" w:sz="5"/>
                          <w:right w:val="single" w:color="cfcfcf" w:sz="5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
(фамилия, имя, отчество</w:t>
                        </w: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(при его наличии)</w:t>
                        </w:r>
                      </w:p>
                      <w:p>
                        <w:pPr>
                          <w:spacing w:after="20"/>
                          <w:ind w:left="20"/>
                          <w:jc w:val="both"/>
                        </w:pPr>
                        <w:r>
                          <w:rPr>
                            <w:rFonts w:ascii="Times New Roman"/>
                            <w:b w:val="false"/>
                            <w:i w:val="false"/>
                            <w:color w:val="000000"/>
                            <w:sz w:val="20"/>
                          </w:rPr>
                          <w:t>(подписывающего)</w:t>
                        </w:r>
                      </w:p>
                    </w:tc>
                  </w:tr>
                </w:tbl>
                <w:p/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176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