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36ae" w14:textId="54f3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инфраструктурного развития Республики Казахстан от 7 апреля 2023 года № 231 и и.о. Министра национальной экономики Республики Казахстан от 12 апреля 2023 года № 48. Зарегистрирован в Министерстве юстиции Республики Казахстан 14 апреля 2023 года № 32303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сфере контроля на соответствие квалификационным требованиям в области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промышленности, в отношении лицензиатов получивших лицензию и приложение на подвиды деятельности: добыча твердых полезных ископаемых (за исключением общераспространенных полезных ископаемых); вскрытие и разработка месторождений твердых полезных ископаемых открытым и подземным способами; ведение технологических работ на месторождениях; ликвидационные работы по закрытию рудников и шахт; производство взрывных работ для добычи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промышленности, в отношении лицензиатов получивших лицензию и приложение на подвид деятельности эксплуатация химических производств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промышленности, в отношении лицензиатов получивших лицензию и приложение на подвиды деятельности: подземный и капитальный ремонт скважин, демонтаж оборудования и агрегатов, установка подъемника скважин; испытания после ремонта скважин; промывка, цементация, опробование и освоение скважин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1161 и Министра национальной экономики Республики Казахстан от 25 декабря 2015 года № 789 "Об утверждении проверочного листа в области промышленности" (зарегистрирован в Реестре государственной регистрации нормативных правовых актов под № 12795);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ноября 2018 года № 799 и Министра национальной экономики Республики Казахстан от 19 ноября 2018 года № 72 "О внесении изменения в совместный приказ исполняющего обязанности Министра по инвестициям и развитию Республики Казахстан от 4 декабря 2015 года № 1161 и Министра национальной экономики Республики Казахстан от 25 декабря 2015 года № 789 "Об утверждении проверочного листа в области промышленности" (зарегистрирован в Реестре государственной регистрации нормативных правовых актов под № 17817).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со дня его первого официального опубликования и распространяется на отношения, возникшие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231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контроля на соответствие квалификационным требованиям в области промышленности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рисков, применяемые для проведения проверок, проводимых на соответствие квалификационным или разрешительным требованиям по выданным разрешениям (далее -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-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23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28577) с целью отнесения субъектов (объектов) контроля в сфере контроля на соответствие квалификационным требованиям в области промышленности по степеням риска.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данных Критериях использованы следующие понятия: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лицензиаты, владеющие лицензией на работы и услуги в области промышленности;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грубые нарушения – нарушения, связанные с отсутствием на праве собственности либо ином законном основании производственно-технической базы для осуществления лицензируемых подвидов деятельности; наличие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процесса; лицензии либо договора со специализированной организацией, имеющей необходимые склады для хранения взрывчатых веществ; бурового станка для бурения скважин; соответствующего технологического оборудования;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иных законных основаниях; аккредитованной лаборатории по контролю соответствия продукции стандартам, нормам и техническим условиям;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значительные нарушения – нарушения, связанные с отсутствием ответственных лиц, обеспечивающих надлежащую эксплуатацию и техническое обслуживание машин, механизмов, транспортных средств, приборов, оборудования; контроль безопасности труда; метрологический контроль; маркшейдерские работы; соблюдение технологического процесса и выпуск продукции заданного качества; охрану окружающей среды; квалификационного состава технических руководителей и специалистов, отвечающих соответствующему образовательному уровню;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незначительные нарушения – нарушения, связанные с отсутствием технологического регламента;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лицензиат – физическое или юридическое лицо, а также филиал иностранного юридического лица, предметом деятельности которого является оказание финансовых услуг, имеющие лицензию;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лицензия – разрешение первой категории, выдаваемое лицензиаром физическому или юридическому лицу, а также филиалу иностранного юридического лица, предметом деятельности которого является оказание финансовых услуг,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лицензируемый вид деятельности – вид деятельности (определенное действие (операция, классы страхования), для занятия которым требуется получение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подвид лицензируемого вида деятельности – конкретизация соответствующего лицензируемого вида деятельности в рамках одной лицензии;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балл – количественная мера исчисления риска;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проверок на соответствие квалификационным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и (или) проверок на соответствие квалификационным требованиям;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Критерии оценки степени риска и проверочные листы, применяемые для проведения проверки на соответствие квалификационным требованиям, утверждаются совместным актом регулирующих государственных органов, уполномоченного органа по предпринимательству и размещаются на интернет-ресурсах регулирующих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государственных органов об утверждении критериев оценки степени риска и управления рисками, проверочных листов до их утверждения подлежат согласованию с уполномоченным органом по правовой статистике и специальным учетам на предмет соответствия требованиям информационной системы – единого реестра субъектов и объектов проверок.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уполномоченным органом по правовой статистике и специальным учетам составляет пять рабочих дней со дня поступления проекта на согласование.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рисками при осуществлении проверки на соответствие квалификационным требованиям, критерии оценки степени риска для проведения проверки на соответствие квалификационным требованиям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государственные органы по объективным критериям относят субъекты (объекты) контроля к одной из следующих степеней риска: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 по объективным критериям, проводятся проверка на соответствие квалификационным требованиям и внеплановая проверка.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 по объективным критериям, проводятся проверка на соответствие квалификационным требованиям и внеплановая проверка.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государственные органы по субъективным критериям относят субъекты (объекты) контроля к одной из следующих степеней риска: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определения грубым, значительным и незначительным нарушениям устанавливаются в критериях оценки степени риска регулирующего государственного органа с учетом специфики соответствующей сферы государственного контроля.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проверки на соответствие квалификационным требованиям формируются посредством определения объективных и субъективных критериев.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объективных критериев осуществляется посредством определения риска.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риска осуществляется с учетом одного из следующих критериев: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окружающей среды, законных интересов физических и юридических лиц, государства.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анализа возможных рисков субъекты (объекты) контроля распределяются по трем степеням риска по объективным критериям (высокая, средняя и низкая).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Лицензия на работы и услуги в сфере промышленности состоит из 9 подвидов деятельности: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твердых полезных ископаемых (за исключением общераспространенных полезных ископаемых);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и разработка месторождений твердых полезных ископаемых открытым и подземным способами;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работ на месторождениях;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взрывных работ для добычи полезных ископаемых;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ликвидационные работы по закрытию рудников и шахт;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подземный и капитальный ремонт скважин, демонтаж оборудования и агрегатов, установка подъемника скважин;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после ремонта скважин;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цементация, опробование и освоение скважин;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химических производств.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Лицензиаты, получившие лицензию на подвиды деятельности: добыча твердых полезных ископаемых (за исключением общераспространенных полезных ископаемых); вскрытие и разработка месторождений твердых полезных ископаемых открытым и подземным способами; ведение технологических работ на месторождениях; ликвидационные работы по закрытию рудников и шахт; производство взрывных работ для добычи полезных ископаемых, относятся к субъектам высокой степени риска.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Лицензиаты, получившие лицензию на подвид деятельности эксплуатация химических производств относятся к субъектам средней степени риска.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Лицензиаты, получившие лицензию на подвиды деятельности: подземный и капитальный ремонт скважин, демонтаж оборудования и агрегатов, установка подъемника скважин; испытания после ремонта скважин; промывка, цементация, опробование и освоение скважин, относятся к субъектам низкой степени риска.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субъективных критериев осуществляется с применением следующих этапов: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Формирование базы данных и сбор информации необходимы для выявления субъектов (объектов) контроля.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субъектов (объектов) контроля;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количество подтвержденных жалоб и обращений;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сведений, представляемых государственными органами и организациями;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официальных интернет-ресурсов государственных органов, средств массовой информации.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вводится в действие с момента ввода в эксплуатацию информационной системы по автоматизации государственного контроля.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имеющихся источников информации регулирующие государственные органы формируют данные по субъективным критериям, подлежащие анализу и оценке.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квалификационным требованиям в отношении субъекта (объекта) контроля с наибольшим потенциальным риском.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проведенной предыдущей проверки на соответствие квалификационным требованиям, не допускается включение их при формировании графиков на очередной период государственного контроля.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критериям, которые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проверок на соответствие квалификационным требованиям на период, определяемый субъективными критериями оценки степени риска регулирующего государственного органа.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проведения проверок на соответствие квалификационным требованиям;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Регулирующие государственные органы, а также государственные органы при осуществлении государственного контроля за членом (участником) саморегулируемой организации, основанной на добровольном членстве (участии), учитывают факт наличия такого членства (участия) в критериях оценки степени риска, как смягчающий индикатор, с учетом заключенного соглашения о признании результатов деятельности саморегулируемой организации в порядке, определяемом уполномоченным органом по предпринимательству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пункта, а также подпункта 3) пункта 16 настоящих критерии не распространяются на сферы национальной безопасности, обороны, обеспечения общественного порядка.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освобождения от проведения проверки на соответствие квалификационным требованиям, регулирующими государственными органами, а также государственными органами учитываются смягчающие индикаторы.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 (датчики воды, датчики фиксации выбросов в атмосферу).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освобождение от проведения проверки на соответствие квалификационным требованиям регулирующими государственными органами, а также государственными органами осуществляется в части требований, данные по которым получены указанными в смягчающих индикаторах способами.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Освобождение от проведения проверки на соответствие квалификационным требованиям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проверки на соответствие квалификационным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нарушении требований к субъектам в области промышленности, для проведения проверок на соответствие квалификационным требованиям,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113"/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расчета степени риска по субъективным критериям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отнесения субъекта контроля к степени риска в соответствии с пунктом 4 настоящих критерии применяется следующий порядок расчета показателя степени риска.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пункту 12 настоящих критерии собирается информация и формируется база данных по субъективным критериям из источников.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(SP) и показателя степени риска по субъективным критериям, определенным в соответствии с пунктом 14 настоящих критерии (SC), с последующей нормализацией значений данных в диапазон от 0 до 100 баллов.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14 настоящих критерии.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данным, полученным по результатам предыдущих проверок, формируется показатель степени риска по нарушениям, оцениваемый в баллах от 0 до 100.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12 настоящих критерии, субъекту контроля приравнивается показатель степени риска 100 баллов и в отношении него проводится проверка на соответствие квалификационным требованиям.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показателя значительных нарушений применяется коэффициент 0,7.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0,7, где: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нарушениям включается в расчет показателя степени риска по субъективным критериям.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Расчет показателя степени риска по субъективным критериям, определенным в соответствии с пунктом 14 настоящих критерии, производится по шкале от 0 до 100 баллов и осуществляется по следующей формуле: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23622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330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субъективного критерия,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355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удельный вес показателя субъективного критерия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 количество показателей.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14 настоящих критерии, включается в расчет показателя степени риска по субъективным критериям.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Рассчитанные по субъектам (объектам) значения по показателю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17145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>– промежуточный показатель степени риска по субъективным критериям, рассчитанный в соответствии с пунктом 21 настоящих критерии.</w:t>
      </w:r>
    </w:p>
    <w:bookmarkEnd w:id="155"/>
    <w:bookmarkStart w:name="z16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Проверочные листы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Проверочные листы составляются для однородных групп субъектов (объектов)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Однородные группы разделяются как по видам деятельности, осуществляемым субъектами (объектами) контроля, так и по форме регистрации (юридические лица, физические лица, индивидуальные предприниматели).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сфер деятельности субъектов (объектов) контроля, отнесенных к высокой степени риска, кратность проведения проверки на соответствие квалификационным требованиям определяется критериями оценки степени риска, но не чаще одного раза в год.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квалификационным требованиям определяется критериями оценки степени риска, но не чаще одного раза в два года.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квалификационным требованиям определяется критериями оценки степени риска, но не чаще одного раза в три года.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промышленности</w:t>
            </w:r>
          </w:p>
        </w:tc>
      </w:tr>
    </w:tbl>
    <w:bookmarkStart w:name="z17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промышленности,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проверок на соответствие квалификационным требованиям подвидов</w:t>
      </w:r>
      <w:r>
        <w:br/>
      </w:r>
      <w:r>
        <w:rPr>
          <w:rFonts w:ascii="Times New Roman"/>
          <w:b/>
          <w:i w:val="false"/>
          <w:color w:val="000000"/>
        </w:rPr>
        <w:t>деятельности: добыча твердых полезных ископаемых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общераспространенных полезных ископаемых);</w:t>
      </w:r>
      <w:r>
        <w:br/>
      </w:r>
      <w:r>
        <w:rPr>
          <w:rFonts w:ascii="Times New Roman"/>
          <w:b/>
          <w:i w:val="false"/>
          <w:color w:val="000000"/>
        </w:rPr>
        <w:t>вскрытие и разработка месторождений твердых полезных ископаемых открытым</w:t>
      </w:r>
      <w:r>
        <w:br/>
      </w:r>
      <w:r>
        <w:rPr>
          <w:rFonts w:ascii="Times New Roman"/>
          <w:b/>
          <w:i w:val="false"/>
          <w:color w:val="000000"/>
        </w:rPr>
        <w:t>и подземным способами; ведение технологических работ на месторождениях;</w:t>
      </w:r>
      <w:r>
        <w:br/>
      </w:r>
      <w:r>
        <w:rPr>
          <w:rFonts w:ascii="Times New Roman"/>
          <w:b/>
          <w:i w:val="false"/>
          <w:color w:val="000000"/>
        </w:rPr>
        <w:t>ликвидационные работы по закрытию рудников и шахт; производство взрывных работ</w:t>
      </w:r>
      <w:r>
        <w:br/>
      </w:r>
      <w:r>
        <w:rPr>
          <w:rFonts w:ascii="Times New Roman"/>
          <w:b/>
          <w:i w:val="false"/>
          <w:color w:val="000000"/>
        </w:rPr>
        <w:t>для добычи полезных ископаемых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выполнения лицензируемого вида и подвидов деятельности (работ), заверенный печатью и подписью первого руководителя заявителя или лица, его замещающего, - для юридических лиц, подписью заявителя - для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включающих: кадастровый номер недвижимого имущества (местонахождение); номер договора и дату подписания договора, в случае если на ином законном основании; наименование организации, с которой заключен договор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добычи твердых полезных ископаемых (за исключением общераспространенных полезных ископаемых); вскрытия и разработки месторождений твердых полезных ископаемых открытым и подземным способами; ведения технологических работ на месторождениях; ликвидационных работ по закрытию рудников и шахт: наличие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взрывных работ для добычи полезных ископаемых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лицензии либо договора со специализированной организацией, имеющей необходимые склады для хранения взрывчатых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бурового станка для бурения скважин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 или служб,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эксплуатацию и техническое обслуживание машин, механизмов, транспортных средств,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 безопасности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маркшейдерские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охрану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трех лет (заверенные печатью и подписью первого руководителя заявителя или замещающего его лица - для юридических лиц, подписью заявителя - для физических лиц, штатное расписание и сводная таблица, включающая следующую информацию: фамилия, имя, отчество, специальность по образованию, должность, стаж работы в соответствующей области)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промышленности</w:t>
            </w:r>
          </w:p>
        </w:tc>
      </w:tr>
    </w:tbl>
    <w:bookmarkStart w:name="z17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промышленности,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проверок на соответствие квалификационным требованиям подвида</w:t>
      </w:r>
      <w:r>
        <w:br/>
      </w:r>
      <w:r>
        <w:rPr>
          <w:rFonts w:ascii="Times New Roman"/>
          <w:b/>
          <w:i w:val="false"/>
          <w:color w:val="000000"/>
        </w:rPr>
        <w:t>деятельности эксплуатация химических производств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выполнения лицензируемого вида и подвидов деятельности (работ), заверенный печатью и подписью первого руководителя заявителя или лица, его замещающего, - для юридических лиц, подписью заявителя - для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включающих: кадастровый номер недвижимого имущества (местонахождение); номер договора и дату подписания договора, в случае если на ином законном основании; наименование организации, с которой заключен договор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химических производств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иных законных основаниях;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аккредитованной лаборатории по контролю соответствия продукции стандартам, нормам и техническим условиям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 или служб,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эксплуатацию и техническое обслуживание машин, механизмов, транспортных средств,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 безопасности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соблюдение технологического процесса и выпуск продукции заданного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охрану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трех лет (заверенные печатью и подписью первого руководителя заявителя или замещающего его лица - для юридических лиц, подписью заявителя - для физических лиц, штатное расписание и сводная таблица, включающая следующую информацию: фамилия, имя, отчество, специальность по образованию, должность, стаж работы в соответствующей области)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промышленности</w:t>
            </w:r>
          </w:p>
        </w:tc>
      </w:tr>
    </w:tbl>
    <w:bookmarkStart w:name="z17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промышленности,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проверок на соответствие квалификационным требованиям подвидов</w:t>
      </w:r>
      <w:r>
        <w:br/>
      </w:r>
      <w:r>
        <w:rPr>
          <w:rFonts w:ascii="Times New Roman"/>
          <w:b/>
          <w:i w:val="false"/>
          <w:color w:val="000000"/>
        </w:rPr>
        <w:t>деятельности: подземный и капитальный ремонт скважин, демонтаж оборудования</w:t>
      </w:r>
      <w:r>
        <w:br/>
      </w:r>
      <w:r>
        <w:rPr>
          <w:rFonts w:ascii="Times New Roman"/>
          <w:b/>
          <w:i w:val="false"/>
          <w:color w:val="000000"/>
        </w:rPr>
        <w:t>и агрегатов, установка подъемника скважин; испытания после ремонта скважин;</w:t>
      </w:r>
      <w:r>
        <w:br/>
      </w:r>
      <w:r>
        <w:rPr>
          <w:rFonts w:ascii="Times New Roman"/>
          <w:b/>
          <w:i w:val="false"/>
          <w:color w:val="000000"/>
        </w:rPr>
        <w:t>промывка, цементация, опробование и освоение скважин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выполнения лицензируемого вида и подвидов деятельности (работ), заверенный печатью и подписью первого руководителя заявителя или лица, его замещающего, - для юридических лиц, подписью заявителя - для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включающих: кадастровый номер недвижимого имущества (местонахождение); номер договора и дату подписания договора, в случае если на ином законном основании; наименование организации, с которой заключен договор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подземного и капитального ремонта скважин, демонтажа оборудования и агрегатов, установки подъемника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испытания после ремонта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промывки, цементации, опробования и освоения скважин: наличие соответствующего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 или служб,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эксплуатацию и техническое обслуживание машин, механизмов, транспортных средств,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 безопасности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маркшейдерские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охрану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трех лет (заверенные печатью и подписью первого руководителя заявителя или замещающего его лица - для юридических лиц, подписью заявителя - для физических лиц, штатное расписание и сводная таблица, включающая следующую информацию: фамилия, имя, отчество, специальность по образованию, должность, стаж работы в соответствующей области)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промышленности</w:t>
            </w:r>
          </w:p>
        </w:tc>
      </w:tr>
    </w:tbl>
    <w:bookmarkStart w:name="z17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промышленности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n.../значение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не переоформлении лицензии и (или) приложений в случае реорганизации юридического лица-лицензиата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пп. 3) п. 12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231</w:t>
            </w:r>
          </w:p>
        </w:tc>
      </w:tr>
    </w:tbl>
    <w:bookmarkStart w:name="z17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промышленности, в отношении лицензиатов получивших</w:t>
      </w:r>
      <w:r>
        <w:br/>
      </w:r>
      <w:r>
        <w:rPr>
          <w:rFonts w:ascii="Times New Roman"/>
          <w:b/>
          <w:i w:val="false"/>
          <w:color w:val="000000"/>
        </w:rPr>
        <w:t>лицензию и приложение на подвиды деятельности: добыча твердых полезных</w:t>
      </w:r>
      <w:r>
        <w:br/>
      </w:r>
      <w:r>
        <w:rPr>
          <w:rFonts w:ascii="Times New Roman"/>
          <w:b/>
          <w:i w:val="false"/>
          <w:color w:val="000000"/>
        </w:rPr>
        <w:t>ископаемых (за исключением общераспространенных полезных ископаемых);</w:t>
      </w:r>
      <w:r>
        <w:br/>
      </w:r>
      <w:r>
        <w:rPr>
          <w:rFonts w:ascii="Times New Roman"/>
          <w:b/>
          <w:i w:val="false"/>
          <w:color w:val="000000"/>
        </w:rPr>
        <w:t>вскрытие и разработка месторождений твердых полезных ископаемых открытым</w:t>
      </w:r>
      <w:r>
        <w:br/>
      </w:r>
      <w:r>
        <w:rPr>
          <w:rFonts w:ascii="Times New Roman"/>
          <w:b/>
          <w:i w:val="false"/>
          <w:color w:val="000000"/>
        </w:rPr>
        <w:t>и подземным способами; ведение технологических работ на месторождениях;</w:t>
      </w:r>
      <w:r>
        <w:br/>
      </w:r>
      <w:r>
        <w:rPr>
          <w:rFonts w:ascii="Times New Roman"/>
          <w:b/>
          <w:i w:val="false"/>
          <w:color w:val="000000"/>
        </w:rPr>
        <w:t>ликвидационные работы по закрытию рудников и шахт; производство взрывных работ</w:t>
      </w:r>
      <w:r>
        <w:br/>
      </w:r>
      <w:r>
        <w:rPr>
          <w:rFonts w:ascii="Times New Roman"/>
          <w:b/>
          <w:i w:val="false"/>
          <w:color w:val="000000"/>
        </w:rPr>
        <w:t>для добычи полезных ископаемых</w:t>
      </w:r>
    </w:p>
    <w:bookmarkEnd w:id="166"/>
    <w:p>
      <w:pPr>
        <w:spacing w:after="0"/>
        <w:ind w:left="0"/>
        <w:jc w:val="both"/>
      </w:pPr>
      <w:bookmarkStart w:name="z179" w:id="1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отношении,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выполнения лицензируемого вида и подвидов деятельности (работ), заверенный печатью и подписью первого руководителя заявителя или лица, его замещающего, - для юридических лиц, подписью заявителя -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включающих: кадастровый номер недвижимого имущества (местонахождение); номер договора и дату подписания договора, в случае если на ином законном основании; наименование организации, с которой заключен договор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добычи твердых полезных ископаемых (за исключением общераспространенных полезных ископаемых); вскрытия и разработки месторождений твердых полезных ископаемых открытым и подземным способами; ведения технологических работ на месторождениях; ликвидационных работ по закрытию рудников и шахт: наличие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взрывных работ для добычи полезных ископаемых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лицензии либо договора со специализированной организацией, имеющей необходимые склады для хранения взрывчатых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бурового станка для бурения скважин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 или служб,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эксплуатацию и техническое обслуживание машин, механизмов, транспортных средств,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 безопасности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маркшейдерские работы (не распространяется на подвид деятельности "эксплуатация химических производств");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охрану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трех лет (заверенные печатью и подписью первого руководителя заявителя или замещающего его лица - для юридических лиц, подписью заявителя - для физических лиц, штатное расписание и сводная таблица, включающая следующую информацию: фамилия, имя, отчество, специальность по образованию, должность, стаж работы в соответствующей области)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0" w:id="16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231</w:t>
            </w:r>
          </w:p>
        </w:tc>
      </w:tr>
    </w:tbl>
    <w:bookmarkStart w:name="z18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промышленности, в отношении лицензиатов получивших лицензию и приложение на подвид деятельности эксплуатация химических производств</w:t>
      </w:r>
    </w:p>
    <w:bookmarkEnd w:id="169"/>
    <w:p>
      <w:pPr>
        <w:spacing w:after="0"/>
        <w:ind w:left="0"/>
        <w:jc w:val="both"/>
      </w:pPr>
      <w:bookmarkStart w:name="z183" w:id="17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отношении,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выполнения лицензируемого вида и подвидов деятельности (работ), заверенный печатью и подписью первого руководителя заявителя или лица, его замещающего, - для юридических лиц, подписью заявителя - 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включающих: кадастровый номер недвижимого имущества (местонахождение); номер договора и дату подписания договора, в случае если на ином законном основании; наименование организации, с которой заключен договор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химических производств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иных законных основаниях;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аккредитованной лаборатории по контролю соответствия продукции стандартам, нормам и техническим условиям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 или служб,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эксплуатацию и техническое обслуживание машин, механизмов, транспортных средств,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 безопасности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соблюдение технологического процесса и выпуск продукции заданного качества (не распространяется на подвиды деятельности горного производства);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охрану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трех лет (заверенные печатью и подписью первого руководителя заявителя или замещающего его лица - для юридических лиц, подписью заявителя - для физических лиц, штатное расписание и сводная таблица, включающая следующую информацию: фамилия, имя, отчество, специальность по образованию, должность, стаж работы в соответствующей области)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4" w:id="17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231</w:t>
            </w:r>
          </w:p>
        </w:tc>
      </w:tr>
    </w:tbl>
    <w:bookmarkStart w:name="z18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промышленности, в отношении лицензиатов получивших</w:t>
      </w:r>
      <w:r>
        <w:br/>
      </w:r>
      <w:r>
        <w:rPr>
          <w:rFonts w:ascii="Times New Roman"/>
          <w:b/>
          <w:i w:val="false"/>
          <w:color w:val="000000"/>
        </w:rPr>
        <w:t>лицензию и приложение на подвиды деятельности: подземный и капитальный ремонт</w:t>
      </w:r>
      <w:r>
        <w:br/>
      </w:r>
      <w:r>
        <w:rPr>
          <w:rFonts w:ascii="Times New Roman"/>
          <w:b/>
          <w:i w:val="false"/>
          <w:color w:val="000000"/>
        </w:rPr>
        <w:t>скважин, демонтаж оборудования и агрегатов, установка подъемника скважин;</w:t>
      </w:r>
      <w:r>
        <w:br/>
      </w:r>
      <w:r>
        <w:rPr>
          <w:rFonts w:ascii="Times New Roman"/>
          <w:b/>
          <w:i w:val="false"/>
          <w:color w:val="000000"/>
        </w:rPr>
        <w:t>испытания после ремонта скважин; промывка, цементация, опробование и освоение скважин</w:t>
      </w:r>
    </w:p>
    <w:bookmarkEnd w:id="172"/>
    <w:p>
      <w:pPr>
        <w:spacing w:after="0"/>
        <w:ind w:left="0"/>
        <w:jc w:val="both"/>
      </w:pPr>
      <w:bookmarkStart w:name="z187" w:id="1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отношении,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выполнения лицензируемого вида и подвидов деятельности (работ), заверенный печатью и подписью первого руководителя заявителя или лица, его замещающего, - для юридических лиц, подписью заявителя -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включающих: кадастровый номер недвижимого имущества (местонахождение); номер договора и дату подписания договора, в случае если на ином законном основании; наименование организации, с которой заключен договор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подземного и капитального ремонта скважин, демонтажа оборудования и агрегатов, установки подъемника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испытания после ремонта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промывки, цементации, опробования и освоения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соответствующего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 или служб,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эксплуатацию и техническое обслуживание машин, механизмов, транспортных средств,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 безопасности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маркшейдерские работы (не распространяется на подвид деятельности "эксплуатация химических производств");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охрану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трех лет (заверенные печатью и подписью первого руководителя заявителя или замещающего его лица - для юридических лиц, подписью заявителя - для физических лиц, штатное расписание и сводная таблица, включающая следующую информацию: фамилия, имя, отчество, специальность по образованию, должность, стаж работы в соответствующей области)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8" w:id="17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