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5779" w14:textId="abd5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созданию и развитию государственных геодезических, нивелирных и гравиметрических сетей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27 марта 2023 года № 107/НҚ. Зарегистрирован в Министерстве юстиции Республики Казахстан 30 марта 2023 года № 32167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созданию и развитию государственных геодезических, нивелирных и гравиметрических сетей.</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цифрового развития, 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2023 года № 107/НҚ</w:t>
            </w:r>
          </w:p>
        </w:tc>
      </w:tr>
    </w:tbl>
    <w:bookmarkStart w:name="z13" w:id="7"/>
    <w:p>
      <w:pPr>
        <w:spacing w:after="0"/>
        <w:ind w:left="0"/>
        <w:jc w:val="left"/>
      </w:pPr>
      <w:r>
        <w:rPr>
          <w:rFonts w:ascii="Times New Roman"/>
          <w:b/>
          <w:i w:val="false"/>
          <w:color w:val="000000"/>
        </w:rPr>
        <w:t xml:space="preserve"> Инструкция по созданию и развитию государственных геодезических, нивелирных и гравиметрических сетей</w:t>
      </w:r>
    </w:p>
    <w:bookmarkEnd w:id="7"/>
    <w:bookmarkStart w:name="z14" w:id="8"/>
    <w:p>
      <w:pPr>
        <w:spacing w:after="0"/>
        <w:ind w:left="0"/>
        <w:jc w:val="left"/>
      </w:pPr>
      <w:r>
        <w:rPr>
          <w:rFonts w:ascii="Times New Roman"/>
          <w:b/>
          <w:i w:val="false"/>
          <w:color w:val="000000"/>
        </w:rPr>
        <w:t xml:space="preserve"> Глава 1. Основные положения</w:t>
      </w:r>
    </w:p>
    <w:bookmarkEnd w:id="8"/>
    <w:bookmarkStart w:name="z15" w:id="9"/>
    <w:p>
      <w:pPr>
        <w:spacing w:after="0"/>
        <w:ind w:left="0"/>
        <w:jc w:val="both"/>
      </w:pPr>
      <w:r>
        <w:rPr>
          <w:rFonts w:ascii="Times New Roman"/>
          <w:b w:val="false"/>
          <w:i w:val="false"/>
          <w:color w:val="000000"/>
          <w:sz w:val="28"/>
        </w:rPr>
        <w:t xml:space="preserve">
      1. Инструкция по созданию и развитию государственных геодезических, нивелирных и гравиметрических сетей (далее - Инструкция) разработана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13 Закона Республики Казахстан "О геодезии, картографии и пространственных данных" (далее - Закон).</w:t>
      </w:r>
    </w:p>
    <w:bookmarkEnd w:id="9"/>
    <w:bookmarkStart w:name="z16" w:id="10"/>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высотная система отсчета – система отсчета для определения высот точек земной поверхности относительно исходной уровненной поверхности;</w:t>
      </w:r>
    </w:p>
    <w:bookmarkEnd w:id="11"/>
    <w:bookmarkStart w:name="z18" w:id="12"/>
    <w:p>
      <w:pPr>
        <w:spacing w:after="0"/>
        <w:ind w:left="0"/>
        <w:jc w:val="both"/>
      </w:pPr>
      <w:r>
        <w:rPr>
          <w:rFonts w:ascii="Times New Roman"/>
          <w:b w:val="false"/>
          <w:i w:val="false"/>
          <w:color w:val="000000"/>
          <w:sz w:val="28"/>
        </w:rPr>
        <w:t>
      2)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12"/>
    <w:bookmarkStart w:name="z19" w:id="13"/>
    <w:p>
      <w:pPr>
        <w:spacing w:after="0"/>
        <w:ind w:left="0"/>
        <w:jc w:val="both"/>
      </w:pPr>
      <w:r>
        <w:rPr>
          <w:rFonts w:ascii="Times New Roman"/>
          <w:b w:val="false"/>
          <w:i w:val="false"/>
          <w:color w:val="000000"/>
          <w:sz w:val="28"/>
        </w:rPr>
        <w:t>
      3) геодезическая сеть – совокупность геодезических пунктов, положение которых на земной поверхности определено на основании геодезических измерений в общей для них системе отсчета геодезических координат;</w:t>
      </w:r>
    </w:p>
    <w:bookmarkEnd w:id="13"/>
    <w:bookmarkStart w:name="z20" w:id="14"/>
    <w:p>
      <w:pPr>
        <w:spacing w:after="0"/>
        <w:ind w:left="0"/>
        <w:jc w:val="both"/>
      </w:pPr>
      <w:r>
        <w:rPr>
          <w:rFonts w:ascii="Times New Roman"/>
          <w:b w:val="false"/>
          <w:i w:val="false"/>
          <w:color w:val="000000"/>
          <w:sz w:val="28"/>
        </w:rPr>
        <w:t>
      4) геодезический пункт – инженерная конструкция, закрепляющая точку земной поверхности с определенными координатами и (или) высотами, и (или) значениями силы тяжести;</w:t>
      </w:r>
    </w:p>
    <w:bookmarkEnd w:id="14"/>
    <w:bookmarkStart w:name="z21" w:id="15"/>
    <w:p>
      <w:pPr>
        <w:spacing w:after="0"/>
        <w:ind w:left="0"/>
        <w:jc w:val="both"/>
      </w:pPr>
      <w:r>
        <w:rPr>
          <w:rFonts w:ascii="Times New Roman"/>
          <w:b w:val="false"/>
          <w:i w:val="false"/>
          <w:color w:val="000000"/>
          <w:sz w:val="28"/>
        </w:rPr>
        <w:t>
      5) гравиметрическая система отсчета – система отсчета для определения абсолютных или относительных измерений ускорения силы тяжести;</w:t>
      </w:r>
    </w:p>
    <w:bookmarkEnd w:id="15"/>
    <w:bookmarkStart w:name="z22" w:id="16"/>
    <w:p>
      <w:pPr>
        <w:spacing w:after="0"/>
        <w:ind w:left="0"/>
        <w:jc w:val="both"/>
      </w:pPr>
      <w:r>
        <w:rPr>
          <w:rFonts w:ascii="Times New Roman"/>
          <w:b w:val="false"/>
          <w:i w:val="false"/>
          <w:color w:val="000000"/>
          <w:sz w:val="28"/>
        </w:rPr>
        <w:t>
      6) гравиметрическая сеть – совокупность геодезических пунктов с известными значениями ускорения силы тяжести в общей для них гравиметрической системе отсчета;</w:t>
      </w:r>
    </w:p>
    <w:bookmarkEnd w:id="16"/>
    <w:bookmarkStart w:name="z23" w:id="17"/>
    <w:p>
      <w:pPr>
        <w:spacing w:after="0"/>
        <w:ind w:left="0"/>
        <w:jc w:val="both"/>
      </w:pPr>
      <w:r>
        <w:rPr>
          <w:rFonts w:ascii="Times New Roman"/>
          <w:b w:val="false"/>
          <w:i w:val="false"/>
          <w:color w:val="000000"/>
          <w:sz w:val="28"/>
        </w:rPr>
        <w:t>
      7) координатная система отсчета – геодезическая система координат, связанная с Землей с помощью датума;</w:t>
      </w:r>
    </w:p>
    <w:bookmarkEnd w:id="17"/>
    <w:bookmarkStart w:name="z24" w:id="18"/>
    <w:p>
      <w:pPr>
        <w:spacing w:after="0"/>
        <w:ind w:left="0"/>
        <w:jc w:val="both"/>
      </w:pPr>
      <w:r>
        <w:rPr>
          <w:rFonts w:ascii="Times New Roman"/>
          <w:b w:val="false"/>
          <w:i w:val="false"/>
          <w:color w:val="000000"/>
          <w:sz w:val="28"/>
        </w:rPr>
        <w:t>
      8) государственная геодезическая сеть – геодезическая сеть, используемая в целях установления и (или) распространения государственной координатной системы отсчета;</w:t>
      </w:r>
    </w:p>
    <w:bookmarkEnd w:id="18"/>
    <w:bookmarkStart w:name="z25" w:id="19"/>
    <w:p>
      <w:pPr>
        <w:spacing w:after="0"/>
        <w:ind w:left="0"/>
        <w:jc w:val="both"/>
      </w:pPr>
      <w:r>
        <w:rPr>
          <w:rFonts w:ascii="Times New Roman"/>
          <w:b w:val="false"/>
          <w:i w:val="false"/>
          <w:color w:val="000000"/>
          <w:sz w:val="28"/>
        </w:rPr>
        <w:t>
      9) государственная гравиметрическая сеть – гравиметрические сети, используемые в целях установления и (или) распространения единой гравиметрической основы;</w:t>
      </w:r>
    </w:p>
    <w:bookmarkEnd w:id="19"/>
    <w:bookmarkStart w:name="z26" w:id="20"/>
    <w:p>
      <w:pPr>
        <w:spacing w:after="0"/>
        <w:ind w:left="0"/>
        <w:jc w:val="both"/>
      </w:pPr>
      <w:r>
        <w:rPr>
          <w:rFonts w:ascii="Times New Roman"/>
          <w:b w:val="false"/>
          <w:i w:val="false"/>
          <w:color w:val="000000"/>
          <w:sz w:val="28"/>
        </w:rPr>
        <w:t>
      10) государственная система отсчета – совокупность государственных координатных, высотных и гравиметрических систем отсчета;</w:t>
      </w:r>
    </w:p>
    <w:bookmarkEnd w:id="20"/>
    <w:bookmarkStart w:name="z27" w:id="21"/>
    <w:p>
      <w:pPr>
        <w:spacing w:after="0"/>
        <w:ind w:left="0"/>
        <w:jc w:val="both"/>
      </w:pPr>
      <w:r>
        <w:rPr>
          <w:rFonts w:ascii="Times New Roman"/>
          <w:b w:val="false"/>
          <w:i w:val="false"/>
          <w:color w:val="000000"/>
          <w:sz w:val="28"/>
        </w:rPr>
        <w:t>
      11) государственная нивелирная сеть – нивелирная сеть, используемая в целях установления и (или) распространения государственной системы отсчета высот;</w:t>
      </w:r>
    </w:p>
    <w:bookmarkEnd w:id="21"/>
    <w:bookmarkStart w:name="z28" w:id="22"/>
    <w:p>
      <w:pPr>
        <w:spacing w:after="0"/>
        <w:ind w:left="0"/>
        <w:jc w:val="both"/>
      </w:pPr>
      <w:r>
        <w:rPr>
          <w:rFonts w:ascii="Times New Roman"/>
          <w:b w:val="false"/>
          <w:i w:val="false"/>
          <w:color w:val="000000"/>
          <w:sz w:val="28"/>
        </w:rPr>
        <w:t>
      12) нивелирная сеть – совокупность геодезических пунктов, высоты которых определены в общей для них системе отсчета высот;</w:t>
      </w:r>
    </w:p>
    <w:bookmarkEnd w:id="22"/>
    <w:bookmarkStart w:name="z29" w:id="23"/>
    <w:p>
      <w:pPr>
        <w:spacing w:after="0"/>
        <w:ind w:left="0"/>
        <w:jc w:val="both"/>
      </w:pPr>
      <w:r>
        <w:rPr>
          <w:rFonts w:ascii="Times New Roman"/>
          <w:b w:val="false"/>
          <w:i w:val="false"/>
          <w:color w:val="000000"/>
          <w:sz w:val="28"/>
        </w:rPr>
        <w:t>
      13) постоянно действующая референцная станция – расположенный в точке с известными пространственными координатами комплекс радиоэлектронных и технических средств,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w:t>
      </w:r>
    </w:p>
    <w:bookmarkEnd w:id="23"/>
    <w:bookmarkStart w:name="z30" w:id="24"/>
    <w:p>
      <w:pPr>
        <w:spacing w:after="0"/>
        <w:ind w:left="0"/>
        <w:jc w:val="both"/>
      </w:pPr>
      <w:r>
        <w:rPr>
          <w:rFonts w:ascii="Times New Roman"/>
          <w:b w:val="false"/>
          <w:i w:val="false"/>
          <w:color w:val="000000"/>
          <w:sz w:val="28"/>
        </w:rPr>
        <w:t>
      14) Национальный фонд пространственных данных – совокупность пространственных данных в цифровом и (или) аналоговом виде, подлежащих учету, длительному хранению в целях их дальнейшего использования субъектами геодезической и картографической деятельности, имеющая общегосударственное, межотраслевое значение, специальное и (или) отраслевое значение.</w:t>
      </w:r>
    </w:p>
    <w:bookmarkEnd w:id="24"/>
    <w:bookmarkStart w:name="z31" w:id="25"/>
    <w:p>
      <w:pPr>
        <w:spacing w:after="0"/>
        <w:ind w:left="0"/>
        <w:jc w:val="both"/>
      </w:pPr>
      <w:r>
        <w:rPr>
          <w:rFonts w:ascii="Times New Roman"/>
          <w:b w:val="false"/>
          <w:i w:val="false"/>
          <w:color w:val="000000"/>
          <w:sz w:val="28"/>
        </w:rPr>
        <w:t>
      3. Инструкция определяет создание, назначение и структуру государственных геодезических, нивелирных и гравиметрических сетей, основные принципы ее дальнейшего развития, а также основные характеристики создаваемых сетей, точности их элементов, системы отсчета координат и времени, характеристики этих систем.</w:t>
      </w:r>
    </w:p>
    <w:bookmarkEnd w:id="25"/>
    <w:bookmarkStart w:name="z32" w:id="26"/>
    <w:p>
      <w:pPr>
        <w:spacing w:after="0"/>
        <w:ind w:left="0"/>
        <w:jc w:val="both"/>
      </w:pPr>
      <w:r>
        <w:rPr>
          <w:rFonts w:ascii="Times New Roman"/>
          <w:b w:val="false"/>
          <w:i w:val="false"/>
          <w:color w:val="000000"/>
          <w:sz w:val="28"/>
        </w:rPr>
        <w:t>
      4. Государственные геодезические, нивелирные и гравиметрические сети представляют собой совокупность геодезических, нивелирных и гравиметрических пунктов, расположенных равномерно по всей территории Республики Казахстан и закрепленных на местности специальными центрами, обеспечивающими их сохранность и устойчивость в плане и по высоте в течение длительного времени.</w:t>
      </w:r>
    </w:p>
    <w:bookmarkEnd w:id="26"/>
    <w:bookmarkStart w:name="z33" w:id="27"/>
    <w:p>
      <w:pPr>
        <w:spacing w:after="0"/>
        <w:ind w:left="0"/>
        <w:jc w:val="both"/>
      </w:pPr>
      <w:r>
        <w:rPr>
          <w:rFonts w:ascii="Times New Roman"/>
          <w:b w:val="false"/>
          <w:i w:val="false"/>
          <w:color w:val="000000"/>
          <w:sz w:val="28"/>
        </w:rPr>
        <w:t>
      5. Государственные геодезические, нивелирные и гравиметрические сети, созданные за счет средств республиканского и местных бюджетов, относятся к государственной собственности и находятся под охраной государства. Снос или перезакладка (перенос) геодезических пунктов производится только с разрешения уполномоченного органа.</w:t>
      </w:r>
    </w:p>
    <w:bookmarkEnd w:id="27"/>
    <w:bookmarkStart w:name="z34" w:id="28"/>
    <w:p>
      <w:pPr>
        <w:spacing w:after="0"/>
        <w:ind w:left="0"/>
        <w:jc w:val="left"/>
      </w:pPr>
      <w:r>
        <w:rPr>
          <w:rFonts w:ascii="Times New Roman"/>
          <w:b/>
          <w:i w:val="false"/>
          <w:color w:val="000000"/>
        </w:rPr>
        <w:t xml:space="preserve"> Глава 2. Государственная геодезическая сеть</w:t>
      </w:r>
    </w:p>
    <w:bookmarkEnd w:id="28"/>
    <w:bookmarkStart w:name="z35" w:id="29"/>
    <w:p>
      <w:pPr>
        <w:spacing w:after="0"/>
        <w:ind w:left="0"/>
        <w:jc w:val="left"/>
      </w:pPr>
      <w:r>
        <w:rPr>
          <w:rFonts w:ascii="Times New Roman"/>
          <w:b/>
          <w:i w:val="false"/>
          <w:color w:val="000000"/>
        </w:rPr>
        <w:t xml:space="preserve"> Параграф 1. Структура и точность государственной геодезической сети</w:t>
      </w:r>
    </w:p>
    <w:bookmarkEnd w:id="29"/>
    <w:bookmarkStart w:name="z36" w:id="30"/>
    <w:p>
      <w:pPr>
        <w:spacing w:after="0"/>
        <w:ind w:left="0"/>
        <w:jc w:val="both"/>
      </w:pPr>
      <w:r>
        <w:rPr>
          <w:rFonts w:ascii="Times New Roman"/>
          <w:b w:val="false"/>
          <w:i w:val="false"/>
          <w:color w:val="000000"/>
          <w:sz w:val="28"/>
        </w:rPr>
        <w:t>
      6. В государственные геодезические сети Республики Казахстан (далее – ГГС) входят постоянно действующие референцные станции, установленные над центрами пунктов фундаментальной астрономо-геодезической сети и высокоточной геодезической сети, на основе использования глобальных навигационных спутниковых систем (далее – ГНСС) с целью обеспечения возможностей определения координат потребителями в режиме, близком к реальному времени.</w:t>
      </w:r>
    </w:p>
    <w:bookmarkEnd w:id="30"/>
    <w:bookmarkStart w:name="z37" w:id="31"/>
    <w:p>
      <w:pPr>
        <w:spacing w:after="0"/>
        <w:ind w:left="0"/>
        <w:jc w:val="both"/>
      </w:pPr>
      <w:r>
        <w:rPr>
          <w:rFonts w:ascii="Times New Roman"/>
          <w:b w:val="false"/>
          <w:i w:val="false"/>
          <w:color w:val="000000"/>
          <w:sz w:val="28"/>
        </w:rPr>
        <w:t>
      7. ГГС в зависимости от точности и других параметров составляющих ее элементов, методов и последовательности развития, структурно формируется по принципу перехода от общего к частному и включает в себя геодезические построения различных классов точности:</w:t>
      </w:r>
    </w:p>
    <w:bookmarkEnd w:id="31"/>
    <w:bookmarkStart w:name="z38" w:id="32"/>
    <w:p>
      <w:pPr>
        <w:spacing w:after="0"/>
        <w:ind w:left="0"/>
        <w:jc w:val="both"/>
      </w:pPr>
      <w:r>
        <w:rPr>
          <w:rFonts w:ascii="Times New Roman"/>
          <w:b w:val="false"/>
          <w:i w:val="false"/>
          <w:color w:val="000000"/>
          <w:sz w:val="28"/>
        </w:rPr>
        <w:t>
      фундаментальная астрономо-геодезическая сеть (далее - ФАГС);</w:t>
      </w:r>
    </w:p>
    <w:bookmarkEnd w:id="32"/>
    <w:bookmarkStart w:name="z39" w:id="33"/>
    <w:p>
      <w:pPr>
        <w:spacing w:after="0"/>
        <w:ind w:left="0"/>
        <w:jc w:val="both"/>
      </w:pPr>
      <w:r>
        <w:rPr>
          <w:rFonts w:ascii="Times New Roman"/>
          <w:b w:val="false"/>
          <w:i w:val="false"/>
          <w:color w:val="000000"/>
          <w:sz w:val="28"/>
        </w:rPr>
        <w:t>
      высокоточная геодезическая сеть (далее - ВГС);</w:t>
      </w:r>
    </w:p>
    <w:bookmarkEnd w:id="33"/>
    <w:bookmarkStart w:name="z40" w:id="34"/>
    <w:p>
      <w:pPr>
        <w:spacing w:after="0"/>
        <w:ind w:left="0"/>
        <w:jc w:val="both"/>
      </w:pPr>
      <w:r>
        <w:rPr>
          <w:rFonts w:ascii="Times New Roman"/>
          <w:b w:val="false"/>
          <w:i w:val="false"/>
          <w:color w:val="000000"/>
          <w:sz w:val="28"/>
        </w:rPr>
        <w:t>
      специальная спутниковая геодезическая сеть (далее - ССГС);</w:t>
      </w:r>
    </w:p>
    <w:bookmarkEnd w:id="34"/>
    <w:bookmarkStart w:name="z41" w:id="35"/>
    <w:p>
      <w:pPr>
        <w:spacing w:after="0"/>
        <w:ind w:left="0"/>
        <w:jc w:val="both"/>
      </w:pPr>
      <w:r>
        <w:rPr>
          <w:rFonts w:ascii="Times New Roman"/>
          <w:b w:val="false"/>
          <w:i w:val="false"/>
          <w:color w:val="000000"/>
          <w:sz w:val="28"/>
        </w:rPr>
        <w:t>
      спутниковые геодезические сети 1 класса (далее - СГС-1);</w:t>
      </w:r>
    </w:p>
    <w:bookmarkEnd w:id="35"/>
    <w:bookmarkStart w:name="z42" w:id="36"/>
    <w:p>
      <w:pPr>
        <w:spacing w:after="0"/>
        <w:ind w:left="0"/>
        <w:jc w:val="both"/>
      </w:pPr>
      <w:r>
        <w:rPr>
          <w:rFonts w:ascii="Times New Roman"/>
          <w:b w:val="false"/>
          <w:i w:val="false"/>
          <w:color w:val="000000"/>
          <w:sz w:val="28"/>
        </w:rPr>
        <w:t>
      точные геодезические сети (далее - ТГС).</w:t>
      </w:r>
    </w:p>
    <w:bookmarkEnd w:id="36"/>
    <w:bookmarkStart w:name="z43" w:id="37"/>
    <w:p>
      <w:pPr>
        <w:spacing w:after="0"/>
        <w:ind w:left="0"/>
        <w:jc w:val="both"/>
      </w:pPr>
      <w:r>
        <w:rPr>
          <w:rFonts w:ascii="Times New Roman"/>
          <w:b w:val="false"/>
          <w:i w:val="false"/>
          <w:color w:val="000000"/>
          <w:sz w:val="28"/>
        </w:rPr>
        <w:t>
      8. ФАГС предназначена для решения научно-технических задач, связанных с определением и изучением фундаментальных постоянных, характеризующих форму и размеры Земли, ее внешнее гравитационное поле, а также для распространения единой отсчетной системы на всю территорию Республики Казахстан.</w:t>
      </w:r>
    </w:p>
    <w:bookmarkEnd w:id="37"/>
    <w:bookmarkStart w:name="z44" w:id="38"/>
    <w:p>
      <w:pPr>
        <w:spacing w:after="0"/>
        <w:ind w:left="0"/>
        <w:jc w:val="both"/>
      </w:pPr>
      <w:r>
        <w:rPr>
          <w:rFonts w:ascii="Times New Roman"/>
          <w:b w:val="false"/>
          <w:i w:val="false"/>
          <w:color w:val="000000"/>
          <w:sz w:val="28"/>
        </w:rPr>
        <w:t>
      9. Пункты ФАГС располагаются друг от друга на расстояниях от 100 до 1000 километров (далее – км).</w:t>
      </w:r>
    </w:p>
    <w:bookmarkEnd w:id="38"/>
    <w:bookmarkStart w:name="z45" w:id="39"/>
    <w:p>
      <w:pPr>
        <w:spacing w:after="0"/>
        <w:ind w:left="0"/>
        <w:jc w:val="both"/>
      </w:pPr>
      <w:r>
        <w:rPr>
          <w:rFonts w:ascii="Times New Roman"/>
          <w:b w:val="false"/>
          <w:i w:val="false"/>
          <w:color w:val="000000"/>
          <w:sz w:val="28"/>
        </w:rPr>
        <w:t>
      10. Пространственное положение пунктов ФАГС определяется методами спутниковых определений в общеземной системе координат относительно центра масс Земли с погрешностью не более 10 сантиметров (далее – см) и средней квадратической погрешностью (далее – СКП) взаимного положения любых пунктов ФАГС не более 2 см в плане и 3 см по высоте.</w:t>
      </w:r>
    </w:p>
    <w:bookmarkEnd w:id="39"/>
    <w:bookmarkStart w:name="z46" w:id="40"/>
    <w:p>
      <w:pPr>
        <w:spacing w:after="0"/>
        <w:ind w:left="0"/>
        <w:jc w:val="both"/>
      </w:pPr>
      <w:r>
        <w:rPr>
          <w:rFonts w:ascii="Times New Roman"/>
          <w:b w:val="false"/>
          <w:i w:val="false"/>
          <w:color w:val="000000"/>
          <w:sz w:val="28"/>
        </w:rPr>
        <w:t>
      11. На пункте ФАГС определяют значение абсолютной силы тяжести по программе определения пунктов фундаментальных гравиметрических сетей.</w:t>
      </w:r>
    </w:p>
    <w:bookmarkEnd w:id="40"/>
    <w:bookmarkStart w:name="z47" w:id="41"/>
    <w:p>
      <w:pPr>
        <w:spacing w:after="0"/>
        <w:ind w:left="0"/>
        <w:jc w:val="both"/>
      </w:pPr>
      <w:r>
        <w:rPr>
          <w:rFonts w:ascii="Times New Roman"/>
          <w:b w:val="false"/>
          <w:i w:val="false"/>
          <w:color w:val="000000"/>
          <w:sz w:val="28"/>
        </w:rPr>
        <w:t xml:space="preserve">
      12. На всех центрах пункта ФАГС определяются значения нормальной высоты для привязки главной высотной основы Республики Казахстан. Нормальную высоту получают из нивелирования I или II класса точности не менее, чем от двух реперов линий нивелирования I или II класса, определяемых согласно инструкции по нивелированию, утверждаемой уполномоченным органом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13 Закона.</w:t>
      </w:r>
    </w:p>
    <w:bookmarkEnd w:id="41"/>
    <w:bookmarkStart w:name="z48" w:id="42"/>
    <w:p>
      <w:pPr>
        <w:spacing w:after="0"/>
        <w:ind w:left="0"/>
        <w:jc w:val="both"/>
      </w:pPr>
      <w:r>
        <w:rPr>
          <w:rFonts w:ascii="Times New Roman"/>
          <w:b w:val="false"/>
          <w:i w:val="false"/>
          <w:color w:val="000000"/>
          <w:sz w:val="28"/>
        </w:rPr>
        <w:t>
      13. ФАГС интегрируются с Международной земной опорной основой – International Terrestrial Reference Frame (далее – ITRF) и все пункты ФАГС включаются в каталог пунктов ITRF.</w:t>
      </w:r>
    </w:p>
    <w:bookmarkEnd w:id="42"/>
    <w:bookmarkStart w:name="z49" w:id="43"/>
    <w:p>
      <w:pPr>
        <w:spacing w:after="0"/>
        <w:ind w:left="0"/>
        <w:jc w:val="both"/>
      </w:pPr>
      <w:r>
        <w:rPr>
          <w:rFonts w:ascii="Times New Roman"/>
          <w:b w:val="false"/>
          <w:i w:val="false"/>
          <w:color w:val="000000"/>
          <w:sz w:val="28"/>
        </w:rPr>
        <w:t>
      14. ВГС вместе с ФАГС предназначена для решения научно-технических задач геодезии и более приближена к решению прикладных задач геодезического обеспечения.</w:t>
      </w:r>
    </w:p>
    <w:bookmarkEnd w:id="43"/>
    <w:bookmarkStart w:name="z50" w:id="44"/>
    <w:p>
      <w:pPr>
        <w:spacing w:after="0"/>
        <w:ind w:left="0"/>
        <w:jc w:val="both"/>
      </w:pPr>
      <w:r>
        <w:rPr>
          <w:rFonts w:ascii="Times New Roman"/>
          <w:b w:val="false"/>
          <w:i w:val="false"/>
          <w:color w:val="000000"/>
          <w:sz w:val="28"/>
        </w:rPr>
        <w:t>
      15. Пункты ВГС располагаются друг от друга на расстояниях от 20 до 300 км.</w:t>
      </w:r>
    </w:p>
    <w:bookmarkEnd w:id="44"/>
    <w:bookmarkStart w:name="z51" w:id="45"/>
    <w:p>
      <w:pPr>
        <w:spacing w:after="0"/>
        <w:ind w:left="0"/>
        <w:jc w:val="both"/>
      </w:pPr>
      <w:r>
        <w:rPr>
          <w:rFonts w:ascii="Times New Roman"/>
          <w:b w:val="false"/>
          <w:i w:val="false"/>
          <w:color w:val="000000"/>
          <w:sz w:val="28"/>
        </w:rPr>
        <w:t>
      16. Для определения пространственного положения пунктов ВГС используются абсолютные методы спутниковых определений. СКП определения положения пунктов ВГС относительно центра масс Земли не превышает 10 см. СКП взаимного положения пунктов ВГС относительно пунктов ФАГС не превышает 2 см в плане и 3 см по высоте.</w:t>
      </w:r>
    </w:p>
    <w:bookmarkEnd w:id="45"/>
    <w:bookmarkStart w:name="z52" w:id="46"/>
    <w:p>
      <w:pPr>
        <w:spacing w:after="0"/>
        <w:ind w:left="0"/>
        <w:jc w:val="both"/>
      </w:pPr>
      <w:r>
        <w:rPr>
          <w:rFonts w:ascii="Times New Roman"/>
          <w:b w:val="false"/>
          <w:i w:val="false"/>
          <w:color w:val="000000"/>
          <w:sz w:val="28"/>
        </w:rPr>
        <w:t>
      17. Для обеспечения однородной точности государственных геодезических сетей развитие ВГС осуществляется с пунктами ФАГС. Плотность пунктов ВГС составляет не менее одного пункта на 35 000 квадратных километров (далее – кв.км).</w:t>
      </w:r>
    </w:p>
    <w:bookmarkEnd w:id="46"/>
    <w:bookmarkStart w:name="z53" w:id="47"/>
    <w:p>
      <w:pPr>
        <w:spacing w:after="0"/>
        <w:ind w:left="0"/>
        <w:jc w:val="both"/>
      </w:pPr>
      <w:r>
        <w:rPr>
          <w:rFonts w:ascii="Times New Roman"/>
          <w:b w:val="false"/>
          <w:i w:val="false"/>
          <w:color w:val="000000"/>
          <w:sz w:val="28"/>
        </w:rPr>
        <w:t xml:space="preserve">
      18. На всех центрах пункта ВГС определяют значения нормальной высоты для привязки к главной высотной основы Республики Казахстан. Нормальную высоту получают из нивелирования II или III класса точности, определяемых согласно инструкции по нивелированию, утверждаемой уполномоченным органом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13 Закона.</w:t>
      </w:r>
    </w:p>
    <w:bookmarkEnd w:id="47"/>
    <w:bookmarkStart w:name="z54" w:id="48"/>
    <w:p>
      <w:pPr>
        <w:spacing w:after="0"/>
        <w:ind w:left="0"/>
        <w:jc w:val="both"/>
      </w:pPr>
      <w:r>
        <w:rPr>
          <w:rFonts w:ascii="Times New Roman"/>
          <w:b w:val="false"/>
          <w:i w:val="false"/>
          <w:color w:val="000000"/>
          <w:sz w:val="28"/>
        </w:rPr>
        <w:t>
      19. ССГС - это третий уровень в структуре ГГС. Главным предназначением ССГС является создание оптимальных условий перевода геодезического обеспечения Республики Казахстан на спутниковые методы определения координат. В состав ССГС входят дифференциальные (базовые) геодезические станции (далее – ДГС). Привязка пунктов ССГС осуществляется относительными спутниковыми методами ГНСС-определений от ближайших пунктов ФАГС и ВГС с точностью 3 мм±1×10-7×D в плане (где D – расстояние между пунктами) и 5 мм±2×10-7×D по высоте.</w:t>
      </w:r>
    </w:p>
    <w:bookmarkEnd w:id="48"/>
    <w:bookmarkStart w:name="z55" w:id="49"/>
    <w:p>
      <w:pPr>
        <w:spacing w:after="0"/>
        <w:ind w:left="0"/>
        <w:jc w:val="both"/>
      </w:pPr>
      <w:r>
        <w:rPr>
          <w:rFonts w:ascii="Times New Roman"/>
          <w:b w:val="false"/>
          <w:i w:val="false"/>
          <w:color w:val="000000"/>
          <w:sz w:val="28"/>
        </w:rPr>
        <w:t>
      20. На всех центрах пункта ССГС определяют значения нормальной высоты для привязки к главной высотной основы Республики Казахстан. Нормальную высоту получают из нивелирования III или IV класса точности, определяемых согласно инструкции по нивелированию, утверждаемой уполномоченным органом в соответствии с подпунктом 28) статьи 13 Закона.</w:t>
      </w:r>
    </w:p>
    <w:bookmarkEnd w:id="49"/>
    <w:bookmarkStart w:name="z56" w:id="50"/>
    <w:p>
      <w:pPr>
        <w:spacing w:after="0"/>
        <w:ind w:left="0"/>
        <w:jc w:val="both"/>
      </w:pPr>
      <w:r>
        <w:rPr>
          <w:rFonts w:ascii="Times New Roman"/>
          <w:b w:val="false"/>
          <w:i w:val="false"/>
          <w:color w:val="000000"/>
          <w:sz w:val="28"/>
        </w:rPr>
        <w:t>
      21. Владельцы ДГС, вошедших в состав ССГС, обеспечивают предоставление данных о ДГС (место установки, тип центра, видимость вокруг станции, тип антенны и приемника ГНСС) и ежемесячное предоставление данных с ДГС в формате Rinex.</w:t>
      </w:r>
    </w:p>
    <w:bookmarkEnd w:id="50"/>
    <w:bookmarkStart w:name="z57" w:id="51"/>
    <w:p>
      <w:pPr>
        <w:spacing w:after="0"/>
        <w:ind w:left="0"/>
        <w:jc w:val="both"/>
      </w:pPr>
      <w:r>
        <w:rPr>
          <w:rFonts w:ascii="Times New Roman"/>
          <w:b w:val="false"/>
          <w:i w:val="false"/>
          <w:color w:val="000000"/>
          <w:sz w:val="28"/>
        </w:rPr>
        <w:t>
      22. СГС-1 – наравне с ССГС является третьим уровнем в современной структуре ГГС. СГС-1 создаются относительными методами спутниковых ГНСС-определений. СГС-1 может быть совмещен с пунктами ССГС или астрономо-геодезических сетей 1 и 2 классов. В СГС-1 выполняются следующие точностные требования: СКП взаимного положения любых пунктов не превышает 3 мм±1×10-7×D в плане и 5 мм±2×10-7×D по высоте.</w:t>
      </w:r>
    </w:p>
    <w:bookmarkEnd w:id="51"/>
    <w:bookmarkStart w:name="z58" w:id="52"/>
    <w:p>
      <w:pPr>
        <w:spacing w:after="0"/>
        <w:ind w:left="0"/>
        <w:jc w:val="both"/>
      </w:pPr>
      <w:r>
        <w:rPr>
          <w:rFonts w:ascii="Times New Roman"/>
          <w:b w:val="false"/>
          <w:i w:val="false"/>
          <w:color w:val="000000"/>
          <w:sz w:val="28"/>
        </w:rPr>
        <w:t>
      23. ТГС – является 4 уровнем в структуре ГГС. ТГС создается на основе существующих астрономо-геодезических сетей и геодезических сетей сгущения после выполнения на них спутниковых определений. Определение координат пунктов осуществляется относительно ФАГС и ВГС. В ТГС выполняются следующие требования к точности: СКП взаимного положения пунктов не превышает 3 мм±2×10-7×D в плане и 5 мм±3×10-7×D по высоте.</w:t>
      </w:r>
    </w:p>
    <w:bookmarkEnd w:id="52"/>
    <w:bookmarkStart w:name="z59" w:id="53"/>
    <w:p>
      <w:pPr>
        <w:spacing w:after="0"/>
        <w:ind w:left="0"/>
        <w:jc w:val="both"/>
      </w:pPr>
      <w:r>
        <w:rPr>
          <w:rFonts w:ascii="Times New Roman"/>
          <w:b w:val="false"/>
          <w:i w:val="false"/>
          <w:color w:val="000000"/>
          <w:sz w:val="28"/>
        </w:rPr>
        <w:t>
      24. Создание ТГС является модернизацией ранее действующих астрономо-геодезических сетей и геодезических сетей сгущения. ТГС необходима для перевода в новую отсчетную основу, уже созданных ранее пространственных данных.</w:t>
      </w:r>
    </w:p>
    <w:bookmarkEnd w:id="53"/>
    <w:bookmarkStart w:name="z60" w:id="54"/>
    <w:p>
      <w:pPr>
        <w:spacing w:after="0"/>
        <w:ind w:left="0"/>
        <w:jc w:val="both"/>
      </w:pPr>
      <w:r>
        <w:rPr>
          <w:rFonts w:ascii="Times New Roman"/>
          <w:b w:val="false"/>
          <w:i w:val="false"/>
          <w:color w:val="000000"/>
          <w:sz w:val="28"/>
        </w:rPr>
        <w:t>
      25. ТГС является резервным вариантом геодезической обеспеченности на случай полной или частичной недоступности навигационных сигналов ГНСС.</w:t>
      </w:r>
    </w:p>
    <w:bookmarkEnd w:id="54"/>
    <w:bookmarkStart w:name="z61" w:id="55"/>
    <w:p>
      <w:pPr>
        <w:spacing w:after="0"/>
        <w:ind w:left="0"/>
        <w:jc w:val="left"/>
      </w:pPr>
      <w:r>
        <w:rPr>
          <w:rFonts w:ascii="Times New Roman"/>
          <w:b/>
          <w:i w:val="false"/>
          <w:color w:val="000000"/>
        </w:rPr>
        <w:t xml:space="preserve"> Параграф 2. Государственные системы отсчета</w:t>
      </w:r>
    </w:p>
    <w:bookmarkEnd w:id="55"/>
    <w:bookmarkStart w:name="z62" w:id="56"/>
    <w:p>
      <w:pPr>
        <w:spacing w:after="0"/>
        <w:ind w:left="0"/>
        <w:jc w:val="both"/>
      </w:pPr>
      <w:r>
        <w:rPr>
          <w:rFonts w:ascii="Times New Roman"/>
          <w:b w:val="false"/>
          <w:i w:val="false"/>
          <w:color w:val="000000"/>
          <w:sz w:val="28"/>
        </w:rPr>
        <w:t>
      26. Для осуществления геодезической и картографической деятельности на территории Республики Казахстан в соответствии с подпунктом 2) статьи 12 Закона устанавливаются государственные системы отсчета:</w:t>
      </w:r>
    </w:p>
    <w:bookmarkEnd w:id="56"/>
    <w:bookmarkStart w:name="z63" w:id="57"/>
    <w:p>
      <w:pPr>
        <w:spacing w:after="0"/>
        <w:ind w:left="0"/>
        <w:jc w:val="both"/>
      </w:pPr>
      <w:r>
        <w:rPr>
          <w:rFonts w:ascii="Times New Roman"/>
          <w:b w:val="false"/>
          <w:i w:val="false"/>
          <w:color w:val="000000"/>
          <w:sz w:val="28"/>
        </w:rPr>
        <w:t>
      Казахстанская земная координатная отсчетная основа 2023 года - Qazaqstan Terrestrial Reference Frame 2023 (далее – QazTRF-23), закреплҰнная геодезическими пунктами ФАГС и ВГС;</w:t>
      </w:r>
    </w:p>
    <w:bookmarkEnd w:id="57"/>
    <w:bookmarkStart w:name="z64" w:id="58"/>
    <w:p>
      <w:pPr>
        <w:spacing w:after="0"/>
        <w:ind w:left="0"/>
        <w:jc w:val="both"/>
      </w:pPr>
      <w:r>
        <w:rPr>
          <w:rFonts w:ascii="Times New Roman"/>
          <w:b w:val="false"/>
          <w:i w:val="false"/>
          <w:color w:val="000000"/>
          <w:sz w:val="28"/>
        </w:rPr>
        <w:t>
      Казахстанская высотная отсчетная основа - Qazaqstan Vertical Reference Frame (далее - QazVRF);</w:t>
      </w:r>
    </w:p>
    <w:bookmarkEnd w:id="58"/>
    <w:bookmarkStart w:name="z65" w:id="59"/>
    <w:p>
      <w:pPr>
        <w:spacing w:after="0"/>
        <w:ind w:left="0"/>
        <w:jc w:val="both"/>
      </w:pPr>
      <w:r>
        <w:rPr>
          <w:rFonts w:ascii="Times New Roman"/>
          <w:b w:val="false"/>
          <w:i w:val="false"/>
          <w:color w:val="000000"/>
          <w:sz w:val="28"/>
        </w:rPr>
        <w:t>
      картографическая проекция:</w:t>
      </w:r>
    </w:p>
    <w:bookmarkEnd w:id="59"/>
    <w:bookmarkStart w:name="z66" w:id="60"/>
    <w:p>
      <w:pPr>
        <w:spacing w:after="0"/>
        <w:ind w:left="0"/>
        <w:jc w:val="both"/>
      </w:pPr>
      <w:r>
        <w:rPr>
          <w:rFonts w:ascii="Times New Roman"/>
          <w:b w:val="false"/>
          <w:i w:val="false"/>
          <w:color w:val="000000"/>
          <w:sz w:val="28"/>
        </w:rPr>
        <w:t>
      проекция Гаусса-Крюгера на эллипсоиде Геодезической системы отсчета 1980 года – Geodetic Reference System 1980 (далее – GRS-80).</w:t>
      </w:r>
    </w:p>
    <w:bookmarkEnd w:id="60"/>
    <w:bookmarkStart w:name="z67" w:id="61"/>
    <w:p>
      <w:pPr>
        <w:spacing w:after="0"/>
        <w:ind w:left="0"/>
        <w:jc w:val="both"/>
      </w:pPr>
      <w:r>
        <w:rPr>
          <w:rFonts w:ascii="Times New Roman"/>
          <w:b w:val="false"/>
          <w:i w:val="false"/>
          <w:color w:val="000000"/>
          <w:sz w:val="28"/>
        </w:rPr>
        <w:t>
      27. Задаваемая пунктами ФАГС координатная система отсчета QazTRF-23 согласовывается на соответствующем уровне точности с фундаментальными астрономическими (небесными) координатными системами отсчета и надежно связывается с аналогичными пунктами различных государств в рамках согласованных научных проектов международного сотрудничества.</w:t>
      </w:r>
    </w:p>
    <w:bookmarkEnd w:id="61"/>
    <w:bookmarkStart w:name="z68" w:id="62"/>
    <w:p>
      <w:pPr>
        <w:spacing w:after="0"/>
        <w:ind w:left="0"/>
        <w:jc w:val="both"/>
      </w:pPr>
      <w:r>
        <w:rPr>
          <w:rFonts w:ascii="Times New Roman"/>
          <w:b w:val="false"/>
          <w:i w:val="false"/>
          <w:color w:val="000000"/>
          <w:sz w:val="28"/>
        </w:rPr>
        <w:t>
      28. Параметры связи земной системы координат, задаваемой пунктами ГГС, с фундаментальными астрономическими (небесными) координатами на адекватном уровне точности устанавливаются оперативными наблюдениями Государственной службы времени и частоты (ГСВЧ) и публикуются в специальных бюллетенях этой службы.</w:t>
      </w:r>
    </w:p>
    <w:bookmarkEnd w:id="62"/>
    <w:bookmarkStart w:name="z69" w:id="63"/>
    <w:p>
      <w:pPr>
        <w:spacing w:after="0"/>
        <w:ind w:left="0"/>
        <w:jc w:val="both"/>
      </w:pPr>
      <w:r>
        <w:rPr>
          <w:rFonts w:ascii="Times New Roman"/>
          <w:b w:val="false"/>
          <w:i w:val="false"/>
          <w:color w:val="000000"/>
          <w:sz w:val="28"/>
        </w:rPr>
        <w:t>
      29. Положение пунктов ГГС в принятой координатной системе отсчета задается геоцентрическими, геодезическими и плоскими прямоугольными координатами X и Y, вычисляемыми в проекции Гаусса-Крюгера в шестиградусных зонах. Осевые меридианы шестиградусных зон на территории Республики Казахстан: 45°, 51°, 57°, 63°, 69°, 75°, 81°, 87°.</w:t>
      </w:r>
    </w:p>
    <w:bookmarkEnd w:id="63"/>
    <w:bookmarkStart w:name="z70" w:id="64"/>
    <w:p>
      <w:pPr>
        <w:spacing w:after="0"/>
        <w:ind w:left="0"/>
        <w:jc w:val="both"/>
      </w:pPr>
      <w:r>
        <w:rPr>
          <w:rFonts w:ascii="Times New Roman"/>
          <w:b w:val="false"/>
          <w:i w:val="false"/>
          <w:color w:val="000000"/>
          <w:sz w:val="28"/>
        </w:rPr>
        <w:t>
      Началом координат в каждой зоне является точка пересечения осевого меридиана с экватором; значение ординаты на осевом меридиане принимается равным 500 км.</w:t>
      </w:r>
    </w:p>
    <w:bookmarkEnd w:id="64"/>
    <w:bookmarkStart w:name="z71" w:id="65"/>
    <w:p>
      <w:pPr>
        <w:spacing w:after="0"/>
        <w:ind w:left="0"/>
        <w:jc w:val="both"/>
      </w:pPr>
      <w:r>
        <w:rPr>
          <w:rFonts w:ascii="Times New Roman"/>
          <w:b w:val="false"/>
          <w:i w:val="false"/>
          <w:color w:val="000000"/>
          <w:sz w:val="28"/>
        </w:rPr>
        <w:t>
      30. В районах съемок масштаба 1:5 000 и крупнее, помимо прямоугольных координат в шестиградусных зонах, для пунктов государственной геодезической сети вычисляются прямоугольные координаты в трехградусных зонах. Осевые меридианы трехградусных зон: 45°, 48°, 51°, 54°, 57°, 60°, 63°, 66°, 69°, 72°, 75°, 78°, 81°, 84°, 87°.</w:t>
      </w:r>
    </w:p>
    <w:bookmarkEnd w:id="65"/>
    <w:bookmarkStart w:name="z72" w:id="66"/>
    <w:p>
      <w:pPr>
        <w:spacing w:after="0"/>
        <w:ind w:left="0"/>
        <w:jc w:val="left"/>
      </w:pPr>
      <w:r>
        <w:rPr>
          <w:rFonts w:ascii="Times New Roman"/>
          <w:b/>
          <w:i w:val="false"/>
          <w:color w:val="000000"/>
        </w:rPr>
        <w:t xml:space="preserve"> Параграф 3. Развитие государственной геодезической сети</w:t>
      </w:r>
    </w:p>
    <w:bookmarkEnd w:id="66"/>
    <w:bookmarkStart w:name="z73" w:id="67"/>
    <w:p>
      <w:pPr>
        <w:spacing w:after="0"/>
        <w:ind w:left="0"/>
        <w:jc w:val="both"/>
      </w:pPr>
      <w:r>
        <w:rPr>
          <w:rFonts w:ascii="Times New Roman"/>
          <w:b w:val="false"/>
          <w:i w:val="false"/>
          <w:color w:val="000000"/>
          <w:sz w:val="28"/>
        </w:rPr>
        <w:t>
      31. Задание, поддержание и воспроизведение координатной системы отсчета на уровне требований, обеспечивающих решение фундаментальных перспективных задач в области геодезии, геофизики, геодинамики и космонавтики, обусловливают необходимость периодического обновления геодезической сети.</w:t>
      </w:r>
    </w:p>
    <w:bookmarkEnd w:id="67"/>
    <w:bookmarkStart w:name="z74" w:id="68"/>
    <w:p>
      <w:pPr>
        <w:spacing w:after="0"/>
        <w:ind w:left="0"/>
        <w:jc w:val="both"/>
      </w:pPr>
      <w:r>
        <w:rPr>
          <w:rFonts w:ascii="Times New Roman"/>
          <w:b w:val="false"/>
          <w:i w:val="false"/>
          <w:color w:val="000000"/>
          <w:sz w:val="28"/>
        </w:rPr>
        <w:t>
      32. По мере развития сетей ФАГС, ВГС и СГС-1 выполняется уравнивание ГГС и уточняются параметры взаимного ориентирования Казахстанской земной координатной системы отсчета.</w:t>
      </w:r>
    </w:p>
    <w:bookmarkEnd w:id="68"/>
    <w:bookmarkStart w:name="z75" w:id="69"/>
    <w:p>
      <w:pPr>
        <w:spacing w:after="0"/>
        <w:ind w:left="0"/>
        <w:jc w:val="both"/>
      </w:pPr>
      <w:r>
        <w:rPr>
          <w:rFonts w:ascii="Times New Roman"/>
          <w:b w:val="false"/>
          <w:i w:val="false"/>
          <w:color w:val="000000"/>
          <w:sz w:val="28"/>
        </w:rPr>
        <w:t>
      33. В состав постоянно действующих пунктов ФАГС включаются расположенные на территории Республики Казахстан пункты лазерной локации спутников, сверхдлиннобазисной радиоинтерферометрии, пункты службы вращения Земли и другие пункты спутниковых наблюдений, измерения на которых позволяют поддерживать и уточнять параметры Казахстанской земной координатной системы отсчета.</w:t>
      </w:r>
    </w:p>
    <w:bookmarkEnd w:id="69"/>
    <w:bookmarkStart w:name="z76" w:id="70"/>
    <w:p>
      <w:pPr>
        <w:spacing w:after="0"/>
        <w:ind w:left="0"/>
        <w:jc w:val="both"/>
      </w:pPr>
      <w:r>
        <w:rPr>
          <w:rFonts w:ascii="Times New Roman"/>
          <w:b w:val="false"/>
          <w:i w:val="false"/>
          <w:color w:val="000000"/>
          <w:sz w:val="28"/>
        </w:rPr>
        <w:t>
      34. Задаваемая пунктами ФАГС геоцентрическая координатная система отсчета согласовывается на соответствующем уровне точности с фундаментальными астрономическими (небесными) системами координат и надежно связывается с аналогичными пунктами различных государств в рамках согласованных научных проектов международного сотрудничества.</w:t>
      </w:r>
    </w:p>
    <w:bookmarkEnd w:id="70"/>
    <w:bookmarkStart w:name="z77" w:id="71"/>
    <w:p>
      <w:pPr>
        <w:spacing w:after="0"/>
        <w:ind w:left="0"/>
        <w:jc w:val="both"/>
      </w:pPr>
      <w:r>
        <w:rPr>
          <w:rFonts w:ascii="Times New Roman"/>
          <w:b w:val="false"/>
          <w:i w:val="false"/>
          <w:color w:val="000000"/>
          <w:sz w:val="28"/>
        </w:rPr>
        <w:t>
      35. ВГС проектируется с целью создания и долгосрочного поддержания Казахстанской земной координатной системы отсчета. При этом необходимо проектирование специального местоположения таких пунктов и их фундаментального закрепления с созданием системы контроля за стабильностью положения их центров.</w:t>
      </w:r>
    </w:p>
    <w:bookmarkEnd w:id="71"/>
    <w:bookmarkStart w:name="z78" w:id="72"/>
    <w:p>
      <w:pPr>
        <w:spacing w:after="0"/>
        <w:ind w:left="0"/>
        <w:jc w:val="both"/>
      </w:pPr>
      <w:r>
        <w:rPr>
          <w:rFonts w:ascii="Times New Roman"/>
          <w:b w:val="false"/>
          <w:i w:val="false"/>
          <w:color w:val="000000"/>
          <w:sz w:val="28"/>
        </w:rPr>
        <w:t>
      36. Пункты СГС-1 проектируются в наиболее удобных для использования местах с хорошими условиями наблюдений. При проектировании СГС-1 может предусматриваться максимальное совмещение пунктов с существующими грунтовыми реперами и стенными марками для исключения дорогостоящих работ по закладке центров. При этом следует проектировать только восстановление внешнего оформления реперов, а при совмещении с пунктами ГГС – проектировать снос ветхих наружных знаков или модернизацию металлических опознавательных пирамид для устранения помех при спутниковых наблюдениях. В небольшом числе случаев может проектироваться закладка центров и установка туров с марками.</w:t>
      </w:r>
    </w:p>
    <w:bookmarkEnd w:id="72"/>
    <w:bookmarkStart w:name="z79" w:id="73"/>
    <w:p>
      <w:pPr>
        <w:spacing w:after="0"/>
        <w:ind w:left="0"/>
        <w:jc w:val="both"/>
      </w:pPr>
      <w:r>
        <w:rPr>
          <w:rFonts w:ascii="Times New Roman"/>
          <w:b w:val="false"/>
          <w:i w:val="false"/>
          <w:color w:val="000000"/>
          <w:sz w:val="28"/>
        </w:rPr>
        <w:t>
      37. Производственный цикл построения геодезических сетей состоит из следующих основных видов работ: проектирование; рекогносцировка и закрепление геодезических пунктов; монтаж спутникового геодезического оборудования; выполнение измерений; математическая обработка (уравнивание); составление каталогов и технических отчетов.</w:t>
      </w:r>
    </w:p>
    <w:bookmarkEnd w:id="73"/>
    <w:bookmarkStart w:name="z80" w:id="74"/>
    <w:p>
      <w:pPr>
        <w:spacing w:after="0"/>
        <w:ind w:left="0"/>
        <w:jc w:val="both"/>
      </w:pPr>
      <w:r>
        <w:rPr>
          <w:rFonts w:ascii="Times New Roman"/>
          <w:b w:val="false"/>
          <w:i w:val="false"/>
          <w:color w:val="000000"/>
          <w:sz w:val="28"/>
        </w:rPr>
        <w:t>
      38. Уничтожение или повреждение геодезических, нивелирных пунктов влечет за собой ответственность в соответствии с законодательными актами Республики Казахстан.</w:t>
      </w:r>
    </w:p>
    <w:bookmarkEnd w:id="74"/>
    <w:bookmarkStart w:name="z81" w:id="75"/>
    <w:p>
      <w:pPr>
        <w:spacing w:after="0"/>
        <w:ind w:left="0"/>
        <w:jc w:val="both"/>
      </w:pPr>
      <w:r>
        <w:rPr>
          <w:rFonts w:ascii="Times New Roman"/>
          <w:b w:val="false"/>
          <w:i w:val="false"/>
          <w:color w:val="000000"/>
          <w:sz w:val="28"/>
        </w:rPr>
        <w:t>
      39. При ведении Национального фонда пространственных данных осуществляется учет геодезических пунктов, контроль целостности сети постоянно действующих референцных станций.</w:t>
      </w:r>
    </w:p>
    <w:bookmarkEnd w:id="75"/>
    <w:bookmarkStart w:name="z82" w:id="76"/>
    <w:p>
      <w:pPr>
        <w:spacing w:after="0"/>
        <w:ind w:left="0"/>
        <w:jc w:val="left"/>
      </w:pPr>
      <w:r>
        <w:rPr>
          <w:rFonts w:ascii="Times New Roman"/>
          <w:b/>
          <w:i w:val="false"/>
          <w:color w:val="000000"/>
        </w:rPr>
        <w:t xml:space="preserve"> Параграф 4. Математическая обработка измерений в ГГС и хранение информации</w:t>
      </w:r>
    </w:p>
    <w:bookmarkEnd w:id="76"/>
    <w:bookmarkStart w:name="z83" w:id="77"/>
    <w:p>
      <w:pPr>
        <w:spacing w:after="0"/>
        <w:ind w:left="0"/>
        <w:jc w:val="both"/>
      </w:pPr>
      <w:r>
        <w:rPr>
          <w:rFonts w:ascii="Times New Roman"/>
          <w:b w:val="false"/>
          <w:i w:val="false"/>
          <w:color w:val="000000"/>
          <w:sz w:val="28"/>
        </w:rPr>
        <w:t>
      40. Математическая обработка измерений в ГГС выполняется поэтапно, по мере накопления материалов.</w:t>
      </w:r>
    </w:p>
    <w:bookmarkEnd w:id="77"/>
    <w:bookmarkStart w:name="z84" w:id="78"/>
    <w:p>
      <w:pPr>
        <w:spacing w:after="0"/>
        <w:ind w:left="0"/>
        <w:jc w:val="both"/>
      </w:pPr>
      <w:r>
        <w:rPr>
          <w:rFonts w:ascii="Times New Roman"/>
          <w:b w:val="false"/>
          <w:i w:val="false"/>
          <w:color w:val="000000"/>
          <w:sz w:val="28"/>
        </w:rPr>
        <w:t>
      41. Математическая обработка геодезических измерений, выполняемых при построении и модернизации ГГС, включает полевые вычисления, предварительные вычисления и уравнивание сетей.</w:t>
      </w:r>
    </w:p>
    <w:bookmarkEnd w:id="78"/>
    <w:bookmarkStart w:name="z85" w:id="79"/>
    <w:p>
      <w:pPr>
        <w:spacing w:after="0"/>
        <w:ind w:left="0"/>
        <w:jc w:val="both"/>
      </w:pPr>
      <w:r>
        <w:rPr>
          <w:rFonts w:ascii="Times New Roman"/>
          <w:b w:val="false"/>
          <w:i w:val="false"/>
          <w:color w:val="000000"/>
          <w:sz w:val="28"/>
        </w:rPr>
        <w:t>
      42. Полевые вычисления выполняются с целью контроля измерений на их соответствие допускам, установленным действующими нормативно-техническими актами и техническими предписаниями на выполнение работ.</w:t>
      </w:r>
    </w:p>
    <w:bookmarkEnd w:id="79"/>
    <w:bookmarkStart w:name="z86" w:id="80"/>
    <w:p>
      <w:pPr>
        <w:spacing w:after="0"/>
        <w:ind w:left="0"/>
        <w:jc w:val="both"/>
      </w:pPr>
      <w:r>
        <w:rPr>
          <w:rFonts w:ascii="Times New Roman"/>
          <w:b w:val="false"/>
          <w:i w:val="false"/>
          <w:color w:val="000000"/>
          <w:sz w:val="28"/>
        </w:rPr>
        <w:t>
      43. Объем и состав полевых вычислений устанавливаются в технических проектах на выполнение работ, в соответствующих методических указаниях и инструкциях. При построении ФАГС, ВГС и СГС-1 полевой контрольной обработке подвергаются материалы наблюдений по взаимной связи пунктов вновь создаваемых и существующих сетей.</w:t>
      </w:r>
    </w:p>
    <w:bookmarkEnd w:id="80"/>
    <w:bookmarkStart w:name="z87" w:id="81"/>
    <w:p>
      <w:pPr>
        <w:spacing w:after="0"/>
        <w:ind w:left="0"/>
        <w:jc w:val="both"/>
      </w:pPr>
      <w:r>
        <w:rPr>
          <w:rFonts w:ascii="Times New Roman"/>
          <w:b w:val="false"/>
          <w:i w:val="false"/>
          <w:color w:val="000000"/>
          <w:sz w:val="28"/>
        </w:rPr>
        <w:t>
      44. Целью предварительных вычислений является вероятностно-статистический анализ результатов измерений, выявление и исключение грубых ошибок, вычисление рабочих координат, оценка качества и подготовка всей измерительной информации к окончательной обработке.</w:t>
      </w:r>
    </w:p>
    <w:bookmarkEnd w:id="81"/>
    <w:bookmarkStart w:name="z88" w:id="82"/>
    <w:p>
      <w:pPr>
        <w:spacing w:after="0"/>
        <w:ind w:left="0"/>
        <w:jc w:val="both"/>
      </w:pPr>
      <w:r>
        <w:rPr>
          <w:rFonts w:ascii="Times New Roman"/>
          <w:b w:val="false"/>
          <w:i w:val="false"/>
          <w:color w:val="000000"/>
          <w:sz w:val="28"/>
        </w:rPr>
        <w:t>
      45. Результаты измерений, прошедших предварительную обработку, передаются в Национальный фонд пространственных данных.</w:t>
      </w:r>
    </w:p>
    <w:bookmarkEnd w:id="82"/>
    <w:bookmarkStart w:name="z89" w:id="83"/>
    <w:p>
      <w:pPr>
        <w:spacing w:after="0"/>
        <w:ind w:left="0"/>
        <w:jc w:val="both"/>
      </w:pPr>
      <w:r>
        <w:rPr>
          <w:rFonts w:ascii="Times New Roman"/>
          <w:b w:val="false"/>
          <w:i w:val="false"/>
          <w:color w:val="000000"/>
          <w:sz w:val="28"/>
        </w:rPr>
        <w:t>
      46. Результаты наблюдений ФАГС и ВГС обрабатываются в соответствии с программой ее построения. Порядок обработки СГС-1, а также совместной обработки ФАГС, ВГС, ССГС, СГС-1 и ТГС определяется соответствующими методическими указаниями.</w:t>
      </w:r>
    </w:p>
    <w:bookmarkEnd w:id="83"/>
    <w:bookmarkStart w:name="z90" w:id="84"/>
    <w:p>
      <w:pPr>
        <w:spacing w:after="0"/>
        <w:ind w:left="0"/>
        <w:jc w:val="both"/>
      </w:pPr>
      <w:r>
        <w:rPr>
          <w:rFonts w:ascii="Times New Roman"/>
          <w:b w:val="false"/>
          <w:i w:val="false"/>
          <w:color w:val="000000"/>
          <w:sz w:val="28"/>
        </w:rPr>
        <w:t>
      В результате совместной обработки ФАГС, ВГС, ССГС, СГС-1 и ТГС получаются значения координат пунктов в системах геодезических и геоцентрических координат, а также параметры перехода, устанавливающие связь между координатами пунктов в обеих системах.</w:t>
      </w:r>
    </w:p>
    <w:bookmarkEnd w:id="84"/>
    <w:bookmarkStart w:name="z91" w:id="85"/>
    <w:p>
      <w:pPr>
        <w:spacing w:after="0"/>
        <w:ind w:left="0"/>
        <w:jc w:val="both"/>
      </w:pPr>
      <w:r>
        <w:rPr>
          <w:rFonts w:ascii="Times New Roman"/>
          <w:b w:val="false"/>
          <w:i w:val="false"/>
          <w:color w:val="000000"/>
          <w:sz w:val="28"/>
        </w:rPr>
        <w:t>
      47. По результатам совместной обработки ГГС, данных нивелирования и гравиметрической информации составляется карта высот квазигеоида на соответствующую территорию.</w:t>
      </w:r>
    </w:p>
    <w:bookmarkEnd w:id="85"/>
    <w:bookmarkStart w:name="z92" w:id="86"/>
    <w:p>
      <w:pPr>
        <w:spacing w:after="0"/>
        <w:ind w:left="0"/>
        <w:jc w:val="both"/>
      </w:pPr>
      <w:r>
        <w:rPr>
          <w:rFonts w:ascii="Times New Roman"/>
          <w:b w:val="false"/>
          <w:i w:val="false"/>
          <w:color w:val="000000"/>
          <w:sz w:val="28"/>
        </w:rPr>
        <w:t>
      48. Все государственные геодезические сети подлежат уравниванию в координатной системе отсчета QazTRF-23 в течение года, следующего за годом завершения создания сети на каждом участке.</w:t>
      </w:r>
    </w:p>
    <w:bookmarkEnd w:id="86"/>
    <w:bookmarkStart w:name="z93" w:id="87"/>
    <w:p>
      <w:pPr>
        <w:spacing w:after="0"/>
        <w:ind w:left="0"/>
        <w:jc w:val="both"/>
      </w:pPr>
      <w:r>
        <w:rPr>
          <w:rFonts w:ascii="Times New Roman"/>
          <w:b w:val="false"/>
          <w:i w:val="false"/>
          <w:color w:val="000000"/>
          <w:sz w:val="28"/>
        </w:rPr>
        <w:t>
      49. Уравнивание сетей завершается составлением каталогов координат и высот геодезических пунктов, составлением технических отчетов.</w:t>
      </w:r>
    </w:p>
    <w:bookmarkEnd w:id="87"/>
    <w:bookmarkStart w:name="z94" w:id="88"/>
    <w:p>
      <w:pPr>
        <w:spacing w:after="0"/>
        <w:ind w:left="0"/>
        <w:jc w:val="both"/>
      </w:pPr>
      <w:r>
        <w:rPr>
          <w:rFonts w:ascii="Times New Roman"/>
          <w:b w:val="false"/>
          <w:i w:val="false"/>
          <w:color w:val="000000"/>
          <w:sz w:val="28"/>
        </w:rPr>
        <w:t>
      50. На территорию страны составляются и издаются каталоги пунктов ГГС, в основной раздел которых помещаются геоцентрические, геодезические и плоские прямоугольные координаты этих пунктов.</w:t>
      </w:r>
    </w:p>
    <w:bookmarkEnd w:id="88"/>
    <w:bookmarkStart w:name="z95" w:id="89"/>
    <w:p>
      <w:pPr>
        <w:spacing w:after="0"/>
        <w:ind w:left="0"/>
        <w:jc w:val="both"/>
      </w:pPr>
      <w:r>
        <w:rPr>
          <w:rFonts w:ascii="Times New Roman"/>
          <w:b w:val="false"/>
          <w:i w:val="false"/>
          <w:color w:val="000000"/>
          <w:sz w:val="28"/>
        </w:rPr>
        <w:t>
      51. Результаты измерений и уравнивания сетей, координаты геодезических пунктов, другие количественные характеристики элементов ГГС подлежат хранению в Национальном фонде пространственных данных.</w:t>
      </w:r>
    </w:p>
    <w:bookmarkEnd w:id="89"/>
    <w:bookmarkStart w:name="z96" w:id="90"/>
    <w:p>
      <w:pPr>
        <w:spacing w:after="0"/>
        <w:ind w:left="0"/>
        <w:jc w:val="left"/>
      </w:pPr>
      <w:r>
        <w:rPr>
          <w:rFonts w:ascii="Times New Roman"/>
          <w:b/>
          <w:i w:val="false"/>
          <w:color w:val="000000"/>
        </w:rPr>
        <w:t xml:space="preserve"> Глава 3. Государственная нивелирная сеть</w:t>
      </w:r>
    </w:p>
    <w:bookmarkEnd w:id="90"/>
    <w:bookmarkStart w:name="z97" w:id="91"/>
    <w:p>
      <w:pPr>
        <w:spacing w:after="0"/>
        <w:ind w:left="0"/>
        <w:jc w:val="left"/>
      </w:pPr>
      <w:r>
        <w:rPr>
          <w:rFonts w:ascii="Times New Roman"/>
          <w:b/>
          <w:i w:val="false"/>
          <w:color w:val="000000"/>
        </w:rPr>
        <w:t xml:space="preserve"> Параграф 1. Структура и точность государственной нивелирной сети</w:t>
      </w:r>
    </w:p>
    <w:bookmarkEnd w:id="91"/>
    <w:bookmarkStart w:name="z98" w:id="92"/>
    <w:p>
      <w:pPr>
        <w:spacing w:after="0"/>
        <w:ind w:left="0"/>
        <w:jc w:val="both"/>
      </w:pPr>
      <w:r>
        <w:rPr>
          <w:rFonts w:ascii="Times New Roman"/>
          <w:b w:val="false"/>
          <w:i w:val="false"/>
          <w:color w:val="000000"/>
          <w:sz w:val="28"/>
        </w:rPr>
        <w:t>
      52. Государственная нивелирная сеть Республики Казахстан (далее - ГНС) предназначена для распространения единой системы высот на территории всей страны и является высотной основой всех топографических съемок и инженерно-геодезических работ, выполняемых для удовлетворения потребностей экономики, науки и обороны страны.</w:t>
      </w:r>
    </w:p>
    <w:bookmarkEnd w:id="92"/>
    <w:bookmarkStart w:name="z99" w:id="93"/>
    <w:p>
      <w:pPr>
        <w:spacing w:after="0"/>
        <w:ind w:left="0"/>
        <w:jc w:val="both"/>
      </w:pPr>
      <w:r>
        <w:rPr>
          <w:rFonts w:ascii="Times New Roman"/>
          <w:b w:val="false"/>
          <w:i w:val="false"/>
          <w:color w:val="000000"/>
          <w:sz w:val="28"/>
        </w:rPr>
        <w:t>
      53. ГНС разделяется на нивелирные сети I, II, III и IV классов, и могут быть совмещены с пунктами ГГС.</w:t>
      </w:r>
    </w:p>
    <w:bookmarkEnd w:id="93"/>
    <w:bookmarkStart w:name="z100" w:id="94"/>
    <w:p>
      <w:pPr>
        <w:spacing w:after="0"/>
        <w:ind w:left="0"/>
        <w:jc w:val="both"/>
      </w:pPr>
      <w:r>
        <w:rPr>
          <w:rFonts w:ascii="Times New Roman"/>
          <w:b w:val="false"/>
          <w:i w:val="false"/>
          <w:color w:val="000000"/>
          <w:sz w:val="28"/>
        </w:rPr>
        <w:t>
      54. Нивелирные сети I и II классов являются главной высотной основой, посредством которой устанавливается единая система высот на всей территории Республики Казахстан, а также предназначаются для использования в научных исследованиях.</w:t>
      </w:r>
    </w:p>
    <w:bookmarkEnd w:id="94"/>
    <w:bookmarkStart w:name="z101" w:id="95"/>
    <w:p>
      <w:pPr>
        <w:spacing w:after="0"/>
        <w:ind w:left="0"/>
        <w:jc w:val="both"/>
      </w:pPr>
      <w:r>
        <w:rPr>
          <w:rFonts w:ascii="Times New Roman"/>
          <w:b w:val="false"/>
          <w:i w:val="false"/>
          <w:color w:val="000000"/>
          <w:sz w:val="28"/>
        </w:rPr>
        <w:t>
      55. Сроки и очередность выполнения нивелирных работ I и II классов устанавливает Уполномоченный орган.</w:t>
      </w:r>
    </w:p>
    <w:bookmarkEnd w:id="95"/>
    <w:bookmarkStart w:name="z102" w:id="96"/>
    <w:p>
      <w:pPr>
        <w:spacing w:after="0"/>
        <w:ind w:left="0"/>
        <w:jc w:val="both"/>
      </w:pPr>
      <w:r>
        <w:rPr>
          <w:rFonts w:ascii="Times New Roman"/>
          <w:b w:val="false"/>
          <w:i w:val="false"/>
          <w:color w:val="000000"/>
          <w:sz w:val="28"/>
        </w:rPr>
        <w:t>
      56. Нивелирные сети III и IV классов служат для обеспечения топографических съемок и решения инженерных задач.</w:t>
      </w:r>
    </w:p>
    <w:bookmarkEnd w:id="96"/>
    <w:bookmarkStart w:name="z103" w:id="97"/>
    <w:p>
      <w:pPr>
        <w:spacing w:after="0"/>
        <w:ind w:left="0"/>
        <w:jc w:val="both"/>
      </w:pPr>
      <w:r>
        <w:rPr>
          <w:rFonts w:ascii="Times New Roman"/>
          <w:b w:val="false"/>
          <w:i w:val="false"/>
          <w:color w:val="000000"/>
          <w:sz w:val="28"/>
        </w:rPr>
        <w:t>
      57. Сеть нивелирования I класса строится в виде отдельных линий и линий, образующих замкнутые полигоны.</w:t>
      </w:r>
    </w:p>
    <w:bookmarkEnd w:id="97"/>
    <w:bookmarkStart w:name="z104" w:id="98"/>
    <w:p>
      <w:pPr>
        <w:spacing w:after="0"/>
        <w:ind w:left="0"/>
        <w:jc w:val="both"/>
      </w:pPr>
      <w:r>
        <w:rPr>
          <w:rFonts w:ascii="Times New Roman"/>
          <w:b w:val="false"/>
          <w:i w:val="false"/>
          <w:color w:val="000000"/>
          <w:sz w:val="28"/>
        </w:rPr>
        <w:t>
      Средний периметр группы смежных полигонов не превышает: в обжитых районах - 1 200 км; в малообжитых районах – 2 000 км; локальных и площадных геодинамических полигонах – 40 км.</w:t>
      </w:r>
    </w:p>
    <w:bookmarkEnd w:id="98"/>
    <w:bookmarkStart w:name="z105" w:id="99"/>
    <w:p>
      <w:pPr>
        <w:spacing w:after="0"/>
        <w:ind w:left="0"/>
        <w:jc w:val="both"/>
      </w:pPr>
      <w:r>
        <w:rPr>
          <w:rFonts w:ascii="Times New Roman"/>
          <w:b w:val="false"/>
          <w:i w:val="false"/>
          <w:color w:val="000000"/>
          <w:sz w:val="28"/>
        </w:rPr>
        <w:t>
      58. Нивелирование I класса выполняется с наивысшей точностью методом нивелирования в прямом и обратном направлениях по двум парам костылей (кольев), образующих две отдельные линии: правую, соответствующую ходу по правым костылям, и левую – по левым костылям, с применением наиболее совершенных инструментов, что позволяет наиболее полно исключить влияние систематических ошибок.</w:t>
      </w:r>
    </w:p>
    <w:bookmarkEnd w:id="99"/>
    <w:bookmarkStart w:name="z106" w:id="100"/>
    <w:p>
      <w:pPr>
        <w:spacing w:after="0"/>
        <w:ind w:left="0"/>
        <w:jc w:val="both"/>
      </w:pPr>
      <w:r>
        <w:rPr>
          <w:rFonts w:ascii="Times New Roman"/>
          <w:b w:val="false"/>
          <w:i w:val="false"/>
          <w:color w:val="000000"/>
          <w:sz w:val="28"/>
        </w:rPr>
        <w:t xml:space="preserve">
      59. Полученные из обработки значения случайных и систематических средних квадратических ошибок нивелирования I класса на 1 км хода не превышают: </w:t>
      </w:r>
      <w:r>
        <w:rPr>
          <w:rFonts w:ascii="Times New Roman"/>
          <w:b w:val="false"/>
          <w:i w:val="false"/>
          <w:color w:val="000000"/>
          <w:sz w:val="28"/>
        </w:rPr>
        <w:t>h</w:t>
      </w:r>
      <w:r>
        <w:rPr>
          <w:rFonts w:ascii="Times New Roman"/>
          <w:b w:val="false"/>
          <w:i w:val="false"/>
          <w:color w:val="000000"/>
          <w:sz w:val="28"/>
        </w:rPr>
        <w:t xml:space="preserve"> = ± 0,8 мм и </w:t>
      </w:r>
      <w:r>
        <w:rPr>
          <w:rFonts w:ascii="Times New Roman"/>
          <w:b w:val="false"/>
          <w:i w:val="false"/>
          <w:color w:val="000000"/>
          <w:sz w:val="28"/>
        </w:rPr>
        <w:t>s</w:t>
      </w:r>
      <w:r>
        <w:rPr>
          <w:rFonts w:ascii="Times New Roman"/>
          <w:b w:val="false"/>
          <w:i w:val="false"/>
          <w:color w:val="000000"/>
          <w:sz w:val="28"/>
        </w:rPr>
        <w:t xml:space="preserve"> = ± 0,08 мм соответственно, а допустимые невязки в полигонах и по линиям: ƒ = 3 мм√L, где L – периметр полигона или длина хода в километрах.</w:t>
      </w:r>
    </w:p>
    <w:bookmarkEnd w:id="100"/>
    <w:bookmarkStart w:name="z107" w:id="101"/>
    <w:p>
      <w:pPr>
        <w:spacing w:after="0"/>
        <w:ind w:left="0"/>
        <w:jc w:val="both"/>
      </w:pPr>
      <w:r>
        <w:rPr>
          <w:rFonts w:ascii="Times New Roman"/>
          <w:b w:val="false"/>
          <w:i w:val="false"/>
          <w:color w:val="000000"/>
          <w:sz w:val="28"/>
        </w:rPr>
        <w:t>
      60. Нивелирная сеть II класса создается внутри полигонов I класса как отдельными линиями, так и в виде системы линий с узловыми пунктами, образуя полигоны.</w:t>
      </w:r>
    </w:p>
    <w:bookmarkEnd w:id="101"/>
    <w:bookmarkStart w:name="z108" w:id="102"/>
    <w:p>
      <w:pPr>
        <w:spacing w:after="0"/>
        <w:ind w:left="0"/>
        <w:jc w:val="both"/>
      </w:pPr>
      <w:r>
        <w:rPr>
          <w:rFonts w:ascii="Times New Roman"/>
          <w:b w:val="false"/>
          <w:i w:val="false"/>
          <w:color w:val="000000"/>
          <w:sz w:val="28"/>
        </w:rPr>
        <w:t>
      Периметры нивелирных полигонов не превышают: в обжитых районах - 400 км; в малообжитых районах – 1 000 км; локальных и площадных геодинамических полигонах – 20 км; в городах на застроенной территории - 50 км, на незастроенной территории – 80 км.</w:t>
      </w:r>
    </w:p>
    <w:bookmarkEnd w:id="102"/>
    <w:bookmarkStart w:name="z109" w:id="103"/>
    <w:p>
      <w:pPr>
        <w:spacing w:after="0"/>
        <w:ind w:left="0"/>
        <w:jc w:val="both"/>
      </w:pPr>
      <w:r>
        <w:rPr>
          <w:rFonts w:ascii="Times New Roman"/>
          <w:b w:val="false"/>
          <w:i w:val="false"/>
          <w:color w:val="000000"/>
          <w:sz w:val="28"/>
        </w:rPr>
        <w:t>
      61. Нивелирование II класса выполняется по каждой линии в прямом и обратном направлениях.</w:t>
      </w:r>
    </w:p>
    <w:bookmarkEnd w:id="103"/>
    <w:bookmarkStart w:name="z110" w:id="104"/>
    <w:p>
      <w:pPr>
        <w:spacing w:after="0"/>
        <w:ind w:left="0"/>
        <w:jc w:val="both"/>
      </w:pPr>
      <w:r>
        <w:rPr>
          <w:rFonts w:ascii="Times New Roman"/>
          <w:b w:val="false"/>
          <w:i w:val="false"/>
          <w:color w:val="000000"/>
          <w:sz w:val="28"/>
        </w:rPr>
        <w:t xml:space="preserve">
      Полученные из обработки значения случайных и систематических средних квадратических ошибок нивелирования II класса на 1 км хода не превышают: </w:t>
      </w:r>
      <w:r>
        <w:rPr>
          <w:rFonts w:ascii="Times New Roman"/>
          <w:b w:val="false"/>
          <w:i w:val="false"/>
          <w:color w:val="000000"/>
          <w:sz w:val="28"/>
        </w:rPr>
        <w:t>h</w:t>
      </w:r>
      <w:r>
        <w:rPr>
          <w:rFonts w:ascii="Times New Roman"/>
          <w:b w:val="false"/>
          <w:i w:val="false"/>
          <w:color w:val="000000"/>
          <w:sz w:val="28"/>
        </w:rPr>
        <w:t xml:space="preserve"> = ± 2,0 мм и </w:t>
      </w:r>
      <w:r>
        <w:rPr>
          <w:rFonts w:ascii="Times New Roman"/>
          <w:b w:val="false"/>
          <w:i w:val="false"/>
          <w:color w:val="000000"/>
          <w:sz w:val="28"/>
        </w:rPr>
        <w:t>s</w:t>
      </w:r>
      <w:r>
        <w:rPr>
          <w:rFonts w:ascii="Times New Roman"/>
          <w:b w:val="false"/>
          <w:i w:val="false"/>
          <w:color w:val="000000"/>
          <w:sz w:val="28"/>
        </w:rPr>
        <w:t xml:space="preserve"> = ± 0,20 мм соответственно, допустимые невязки в полигонах и по линиям: ƒ = 5 мм√L, где L – периметр полигона или длина хода в километрах.</w:t>
      </w:r>
    </w:p>
    <w:bookmarkEnd w:id="104"/>
    <w:bookmarkStart w:name="z111" w:id="105"/>
    <w:p>
      <w:pPr>
        <w:spacing w:after="0"/>
        <w:ind w:left="0"/>
        <w:jc w:val="both"/>
      </w:pPr>
      <w:r>
        <w:rPr>
          <w:rFonts w:ascii="Times New Roman"/>
          <w:b w:val="false"/>
          <w:i w:val="false"/>
          <w:color w:val="000000"/>
          <w:sz w:val="28"/>
        </w:rPr>
        <w:t>
      62. В линии нивелирования I и II классов, которые примыкают к морям или проложены вдоль больших рек и озер, обязательно включают основные и рабочие реперы, нули уровенных реек вековых и постоянных морских, а также основных речных и озерных уровенных постов. Если посты расположены на расстоянии 1 км и более от линий нивелирования I класса, то привязку осуществляют нивелированием II класса.</w:t>
      </w:r>
    </w:p>
    <w:bookmarkEnd w:id="105"/>
    <w:bookmarkStart w:name="z112" w:id="106"/>
    <w:p>
      <w:pPr>
        <w:spacing w:after="0"/>
        <w:ind w:left="0"/>
        <w:jc w:val="both"/>
      </w:pPr>
      <w:r>
        <w:rPr>
          <w:rFonts w:ascii="Times New Roman"/>
          <w:b w:val="false"/>
          <w:i w:val="false"/>
          <w:color w:val="000000"/>
          <w:sz w:val="28"/>
        </w:rPr>
        <w:t>
      63. Измеренные разности высот пунктов нивелирования I и II классов исправляются поправками за переход к нормальным высотам.</w:t>
      </w:r>
    </w:p>
    <w:bookmarkEnd w:id="106"/>
    <w:bookmarkStart w:name="z113" w:id="107"/>
    <w:p>
      <w:pPr>
        <w:spacing w:after="0"/>
        <w:ind w:left="0"/>
        <w:jc w:val="both"/>
      </w:pPr>
      <w:r>
        <w:rPr>
          <w:rFonts w:ascii="Times New Roman"/>
          <w:b w:val="false"/>
          <w:i w:val="false"/>
          <w:color w:val="000000"/>
          <w:sz w:val="28"/>
        </w:rPr>
        <w:t>
      64. Нивелирные сети III класса прокладываются внутри полигонов высшего класса как отдельными линиями, так и в виде системы линий, при этом сети и линии опираются не менее чем на два репера высшего класса.</w:t>
      </w:r>
    </w:p>
    <w:bookmarkEnd w:id="107"/>
    <w:bookmarkStart w:name="z114" w:id="108"/>
    <w:p>
      <w:pPr>
        <w:spacing w:after="0"/>
        <w:ind w:left="0"/>
        <w:jc w:val="both"/>
      </w:pPr>
      <w:r>
        <w:rPr>
          <w:rFonts w:ascii="Times New Roman"/>
          <w:b w:val="false"/>
          <w:i w:val="false"/>
          <w:color w:val="000000"/>
          <w:sz w:val="28"/>
        </w:rPr>
        <w:t>
      65. В горных районах нивелирные линии III класса прокладываются только по удобным для нивелирования направлениям, при этом в измеренные превышения вводятся поправки за переход к нормальным высотам.</w:t>
      </w:r>
    </w:p>
    <w:bookmarkEnd w:id="108"/>
    <w:bookmarkStart w:name="z115" w:id="109"/>
    <w:p>
      <w:pPr>
        <w:spacing w:after="0"/>
        <w:ind w:left="0"/>
        <w:jc w:val="both"/>
      </w:pPr>
      <w:r>
        <w:rPr>
          <w:rFonts w:ascii="Times New Roman"/>
          <w:b w:val="false"/>
          <w:i w:val="false"/>
          <w:color w:val="000000"/>
          <w:sz w:val="28"/>
        </w:rPr>
        <w:t>
      Периметры нивелирных полигонов не превышают: в обжитых районах от 60 до 150 км; в малообжитых районах от 100 до 300 км; в городах на застроенной территории – 25 км, на незастроенной территории – 40 км. Для обеспечения топографических съемок масштабов 1:5 000 и крупнее линии нивелирования III класса прокладываются с расчетом создания полигонов с периметром до 60 км.</w:t>
      </w:r>
    </w:p>
    <w:bookmarkEnd w:id="109"/>
    <w:bookmarkStart w:name="z116" w:id="110"/>
    <w:p>
      <w:pPr>
        <w:spacing w:after="0"/>
        <w:ind w:left="0"/>
        <w:jc w:val="both"/>
      </w:pPr>
      <w:r>
        <w:rPr>
          <w:rFonts w:ascii="Times New Roman"/>
          <w:b w:val="false"/>
          <w:i w:val="false"/>
          <w:color w:val="000000"/>
          <w:sz w:val="28"/>
        </w:rPr>
        <w:t>
      66. Нивелирование III класса выполняется по каждой линии в прямом и обратном направлениях.</w:t>
      </w:r>
    </w:p>
    <w:bookmarkEnd w:id="110"/>
    <w:bookmarkStart w:name="z117" w:id="111"/>
    <w:p>
      <w:pPr>
        <w:spacing w:after="0"/>
        <w:ind w:left="0"/>
        <w:jc w:val="both"/>
      </w:pPr>
      <w:r>
        <w:rPr>
          <w:rFonts w:ascii="Times New Roman"/>
          <w:b w:val="false"/>
          <w:i w:val="false"/>
          <w:color w:val="000000"/>
          <w:sz w:val="28"/>
        </w:rPr>
        <w:t xml:space="preserve">
      Полученные из обработки значения случайных средних квадратических ошибок на 1 км хода не превышают: </w:t>
      </w:r>
      <w:r>
        <w:rPr>
          <w:rFonts w:ascii="Times New Roman"/>
          <w:b w:val="false"/>
          <w:i w:val="false"/>
          <w:color w:val="000000"/>
          <w:sz w:val="28"/>
        </w:rPr>
        <w:t>h</w:t>
      </w:r>
      <w:r>
        <w:rPr>
          <w:rFonts w:ascii="Times New Roman"/>
          <w:b w:val="false"/>
          <w:i w:val="false"/>
          <w:color w:val="000000"/>
          <w:sz w:val="28"/>
        </w:rPr>
        <w:t xml:space="preserve"> = ± 5,0 мм, допустимые невязки в полигонах и по линиям: ƒ = 10 мм√L, где L - периметр полигона или длина хода в километрах.</w:t>
      </w:r>
    </w:p>
    <w:bookmarkEnd w:id="111"/>
    <w:bookmarkStart w:name="z118" w:id="112"/>
    <w:p>
      <w:pPr>
        <w:spacing w:after="0"/>
        <w:ind w:left="0"/>
        <w:jc w:val="both"/>
      </w:pPr>
      <w:r>
        <w:rPr>
          <w:rFonts w:ascii="Times New Roman"/>
          <w:b w:val="false"/>
          <w:i w:val="false"/>
          <w:color w:val="000000"/>
          <w:sz w:val="28"/>
        </w:rPr>
        <w:t>
      67. Нивелирные сети IV класса прокладываются внутри полигонов высшего класса как отдельными линиями, так и в виде системы линий, при этом сети и линии опираются не менее чем на два репера высшего класса.</w:t>
      </w:r>
    </w:p>
    <w:bookmarkEnd w:id="112"/>
    <w:bookmarkStart w:name="z119" w:id="113"/>
    <w:p>
      <w:pPr>
        <w:spacing w:after="0"/>
        <w:ind w:left="0"/>
        <w:jc w:val="both"/>
      </w:pPr>
      <w:r>
        <w:rPr>
          <w:rFonts w:ascii="Times New Roman"/>
          <w:b w:val="false"/>
          <w:i w:val="false"/>
          <w:color w:val="000000"/>
          <w:sz w:val="28"/>
        </w:rPr>
        <w:t>
      Периметры нивелирных полигонов не превышают: в обжитых районах от 20 до 60 км; в малообжитых районах от 25 до 80 км; в городах на застроенной территории – 8 км, на незастроенной территории – 12 км.</w:t>
      </w:r>
    </w:p>
    <w:bookmarkEnd w:id="113"/>
    <w:bookmarkStart w:name="z120" w:id="114"/>
    <w:p>
      <w:pPr>
        <w:spacing w:after="0"/>
        <w:ind w:left="0"/>
        <w:jc w:val="both"/>
      </w:pPr>
      <w:r>
        <w:rPr>
          <w:rFonts w:ascii="Times New Roman"/>
          <w:b w:val="false"/>
          <w:i w:val="false"/>
          <w:color w:val="000000"/>
          <w:sz w:val="28"/>
        </w:rPr>
        <w:t>
      68. Нивелирование IV класса выполняется в одном направлении.</w:t>
      </w:r>
    </w:p>
    <w:bookmarkEnd w:id="114"/>
    <w:bookmarkStart w:name="z121" w:id="115"/>
    <w:p>
      <w:pPr>
        <w:spacing w:after="0"/>
        <w:ind w:left="0"/>
        <w:jc w:val="both"/>
      </w:pPr>
      <w:r>
        <w:rPr>
          <w:rFonts w:ascii="Times New Roman"/>
          <w:b w:val="false"/>
          <w:i w:val="false"/>
          <w:color w:val="000000"/>
          <w:sz w:val="28"/>
        </w:rPr>
        <w:t>
      Допустимые невязки в полигонах и по линиям не превышают величины ƒ = 20 мм√L, где L – периметр полигона или длина хода в километрах.</w:t>
      </w:r>
    </w:p>
    <w:bookmarkEnd w:id="115"/>
    <w:bookmarkStart w:name="z122" w:id="116"/>
    <w:p>
      <w:pPr>
        <w:spacing w:after="0"/>
        <w:ind w:left="0"/>
        <w:jc w:val="left"/>
      </w:pPr>
      <w:r>
        <w:rPr>
          <w:rFonts w:ascii="Times New Roman"/>
          <w:b/>
          <w:i w:val="false"/>
          <w:color w:val="000000"/>
        </w:rPr>
        <w:t xml:space="preserve"> Параграф 2. Система отсчета высот</w:t>
      </w:r>
    </w:p>
    <w:bookmarkEnd w:id="116"/>
    <w:bookmarkStart w:name="z123" w:id="117"/>
    <w:p>
      <w:pPr>
        <w:spacing w:after="0"/>
        <w:ind w:left="0"/>
        <w:jc w:val="both"/>
      </w:pPr>
      <w:r>
        <w:rPr>
          <w:rFonts w:ascii="Times New Roman"/>
          <w:b w:val="false"/>
          <w:i w:val="false"/>
          <w:color w:val="000000"/>
          <w:sz w:val="28"/>
        </w:rPr>
        <w:t xml:space="preserve">
      69. Для осуществления геодезической и картографической деятельности на всей территории Республики Казахстан вычисление высот производится в нормальной системе высот. </w:t>
      </w:r>
    </w:p>
    <w:bookmarkEnd w:id="117"/>
    <w:bookmarkStart w:name="z124" w:id="118"/>
    <w:p>
      <w:pPr>
        <w:spacing w:after="0"/>
        <w:ind w:left="0"/>
        <w:jc w:val="both"/>
      </w:pPr>
      <w:r>
        <w:rPr>
          <w:rFonts w:ascii="Times New Roman"/>
          <w:b w:val="false"/>
          <w:i w:val="false"/>
          <w:color w:val="000000"/>
          <w:sz w:val="28"/>
        </w:rPr>
        <w:t>
      70. За исходный уровень принят средний уровень Балтийского моря (нуль Кронштадтского футштока) – QazVRF. Опорными пунктами QazVRF принимаются пункты ФАГС над которыми определены нормальные высоты нивелированием I класса.</w:t>
      </w:r>
    </w:p>
    <w:bookmarkEnd w:id="118"/>
    <w:bookmarkStart w:name="z125" w:id="119"/>
    <w:p>
      <w:pPr>
        <w:spacing w:after="0"/>
        <w:ind w:left="0"/>
        <w:jc w:val="left"/>
      </w:pPr>
      <w:r>
        <w:rPr>
          <w:rFonts w:ascii="Times New Roman"/>
          <w:b/>
          <w:i w:val="false"/>
          <w:color w:val="000000"/>
        </w:rPr>
        <w:t xml:space="preserve"> Параграф 3. Развитие государственной нивелирной сети</w:t>
      </w:r>
    </w:p>
    <w:bookmarkEnd w:id="119"/>
    <w:bookmarkStart w:name="z126" w:id="120"/>
    <w:p>
      <w:pPr>
        <w:spacing w:after="0"/>
        <w:ind w:left="0"/>
        <w:jc w:val="both"/>
      </w:pPr>
      <w:r>
        <w:rPr>
          <w:rFonts w:ascii="Times New Roman"/>
          <w:b w:val="false"/>
          <w:i w:val="false"/>
          <w:color w:val="000000"/>
          <w:sz w:val="28"/>
        </w:rPr>
        <w:t>
      71. Задание, поддержание и воспроизведение системы отсчета высот на уровне требований, обеспечивающих решение фундаментальных перспективных задач в области геодезии обусловливает необходимость создания высотной основы на качественно новом и более высоком уровне точности.</w:t>
      </w:r>
    </w:p>
    <w:bookmarkEnd w:id="120"/>
    <w:bookmarkStart w:name="z127" w:id="121"/>
    <w:p>
      <w:pPr>
        <w:spacing w:after="0"/>
        <w:ind w:left="0"/>
        <w:jc w:val="both"/>
      </w:pPr>
      <w:r>
        <w:rPr>
          <w:rFonts w:ascii="Times New Roman"/>
          <w:b w:val="false"/>
          <w:i w:val="false"/>
          <w:color w:val="000000"/>
          <w:sz w:val="28"/>
        </w:rPr>
        <w:t>
      72. По мере развития нивелирных сетей выполняется уравнивание и уточняются нормальные высоты пунктов в QazVRF.</w:t>
      </w:r>
    </w:p>
    <w:bookmarkEnd w:id="121"/>
    <w:bookmarkStart w:name="z128" w:id="122"/>
    <w:p>
      <w:pPr>
        <w:spacing w:after="0"/>
        <w:ind w:left="0"/>
        <w:jc w:val="both"/>
      </w:pPr>
      <w:r>
        <w:rPr>
          <w:rFonts w:ascii="Times New Roman"/>
          <w:b w:val="false"/>
          <w:i w:val="false"/>
          <w:color w:val="000000"/>
          <w:sz w:val="28"/>
        </w:rPr>
        <w:t>
      73. В виду усовершенствования методов определения разностью гравитационных потенциалов за высотную основу Республики Казахстан следует принять эквипотенциальную поверхность Казахстанского геоида (QazGeoid), и высоту любой точки на территории государства отсчитывать относительно нее. В новой системе определения высот измеряемой физической величиной является разность гравитационных потенциалов.</w:t>
      </w:r>
    </w:p>
    <w:bookmarkEnd w:id="122"/>
    <w:bookmarkStart w:name="z129" w:id="123"/>
    <w:p>
      <w:pPr>
        <w:spacing w:after="0"/>
        <w:ind w:left="0"/>
        <w:jc w:val="both"/>
      </w:pPr>
      <w:r>
        <w:rPr>
          <w:rFonts w:ascii="Times New Roman"/>
          <w:b w:val="false"/>
          <w:i w:val="false"/>
          <w:color w:val="000000"/>
          <w:sz w:val="28"/>
        </w:rPr>
        <w:t>
      74. Физическими эффектами, непосредственно связанными с разностью гравитационных потенциалов, являются эффекты гравитационного смещения частоты и гравитационного замедления (смещения) времени. Эти эффекты измеряются с помощью высокостабильных стандартов частоты и времени (СЧВ). В свою очередь, разность потенциалов в первом приближении линейно связана с разностью нормальных высот геоида и исследуемой точки через значение ускорения свободного падения.</w:t>
      </w:r>
    </w:p>
    <w:bookmarkEnd w:id="123"/>
    <w:bookmarkStart w:name="z130" w:id="124"/>
    <w:p>
      <w:pPr>
        <w:spacing w:after="0"/>
        <w:ind w:left="0"/>
        <w:jc w:val="both"/>
      </w:pPr>
      <w:r>
        <w:rPr>
          <w:rFonts w:ascii="Times New Roman"/>
          <w:b w:val="false"/>
          <w:i w:val="false"/>
          <w:color w:val="000000"/>
          <w:sz w:val="28"/>
        </w:rPr>
        <w:t>
      75. Задаваемая Казахстанским геоидом (QazGeoid) главная высотная основа согласовывается на соответствующем уровне с Международной системой отсчета высот (IHRS).</w:t>
      </w:r>
    </w:p>
    <w:bookmarkEnd w:id="124"/>
    <w:bookmarkStart w:name="z131" w:id="125"/>
    <w:p>
      <w:pPr>
        <w:spacing w:after="0"/>
        <w:ind w:left="0"/>
        <w:jc w:val="both"/>
      </w:pPr>
      <w:r>
        <w:rPr>
          <w:rFonts w:ascii="Times New Roman"/>
          <w:b w:val="false"/>
          <w:i w:val="false"/>
          <w:color w:val="000000"/>
          <w:sz w:val="28"/>
        </w:rPr>
        <w:t>
      76. Производственный цикл построения нивелирных сетей состоит из следующих основных видов работ: проектирование; рекогносцировка и закрепление реперов; выполнение измерений; математическая обработка (уравнивание); составление каталогов и технических отчетов.</w:t>
      </w:r>
    </w:p>
    <w:bookmarkEnd w:id="125"/>
    <w:bookmarkStart w:name="z132" w:id="126"/>
    <w:p>
      <w:pPr>
        <w:spacing w:after="0"/>
        <w:ind w:left="0"/>
        <w:jc w:val="both"/>
      </w:pPr>
      <w:r>
        <w:rPr>
          <w:rFonts w:ascii="Times New Roman"/>
          <w:b w:val="false"/>
          <w:i w:val="false"/>
          <w:color w:val="000000"/>
          <w:sz w:val="28"/>
        </w:rPr>
        <w:t>
      77. Проектирование нивелирных сетей выполняется с учетом всех ранее исполненных работ после обследования сохранности нивелирных знаков.</w:t>
      </w:r>
    </w:p>
    <w:bookmarkEnd w:id="126"/>
    <w:bookmarkStart w:name="z133" w:id="127"/>
    <w:p>
      <w:pPr>
        <w:spacing w:after="0"/>
        <w:ind w:left="0"/>
        <w:jc w:val="both"/>
      </w:pPr>
      <w:r>
        <w:rPr>
          <w:rFonts w:ascii="Times New Roman"/>
          <w:b w:val="false"/>
          <w:i w:val="false"/>
          <w:color w:val="000000"/>
          <w:sz w:val="28"/>
        </w:rPr>
        <w:t>
      78. Нивелируются повторно все линии I класса через каждые 15 лет и линии II класса через каждые 20 лет, а сейсмоактивных районах: I класса - через каждые 7 лет, II класса - через каждые 15 лет. Сейсмоактивные районы устанавливают по картам сейсмического районирования Республики Казахстан.</w:t>
      </w:r>
    </w:p>
    <w:bookmarkEnd w:id="127"/>
    <w:bookmarkStart w:name="z134" w:id="128"/>
    <w:p>
      <w:pPr>
        <w:spacing w:after="0"/>
        <w:ind w:left="0"/>
        <w:jc w:val="both"/>
      </w:pPr>
      <w:r>
        <w:rPr>
          <w:rFonts w:ascii="Times New Roman"/>
          <w:b w:val="false"/>
          <w:i w:val="false"/>
          <w:color w:val="000000"/>
          <w:sz w:val="28"/>
        </w:rPr>
        <w:t>
      79. Линии нивелирования I и II классов прокладываются преимущественно вдоль шоссейных, железных и грунтовых дорог, а при их отсутствии, особенно в труднодоступных районах страны, - по берегам рек, тропам и зимникам. Во всех случаях линии нивелирования I и II классов прокладывают по трассам с наиболее благоприятными для данного района грунтовыми условиями и с наименее сложным рельефом.</w:t>
      </w:r>
    </w:p>
    <w:bookmarkEnd w:id="128"/>
    <w:bookmarkStart w:name="z135" w:id="129"/>
    <w:p>
      <w:pPr>
        <w:spacing w:after="0"/>
        <w:ind w:left="0"/>
        <w:jc w:val="both"/>
      </w:pPr>
      <w:r>
        <w:rPr>
          <w:rFonts w:ascii="Times New Roman"/>
          <w:b w:val="false"/>
          <w:i w:val="false"/>
          <w:color w:val="000000"/>
          <w:sz w:val="28"/>
        </w:rPr>
        <w:t>
      80. Для решения различных задач инженерного характера (при крупном строительстве, съемке городов и прочее) допускается проложение ходов нивелирования II, III и IV классов по особой схеме, но с обязательной привязкой к государственной нивелирной сети.</w:t>
      </w:r>
    </w:p>
    <w:bookmarkEnd w:id="129"/>
    <w:bookmarkStart w:name="z136" w:id="130"/>
    <w:p>
      <w:pPr>
        <w:spacing w:after="0"/>
        <w:ind w:left="0"/>
        <w:jc w:val="both"/>
      </w:pPr>
      <w:r>
        <w:rPr>
          <w:rFonts w:ascii="Times New Roman"/>
          <w:b w:val="false"/>
          <w:i w:val="false"/>
          <w:color w:val="000000"/>
          <w:sz w:val="28"/>
        </w:rPr>
        <w:t>
      81. Линии государственной нивелирной сети I, II, III и IV классов закрепляют на местности реперами не реже чем через каждые 5 км (по трассе).</w:t>
      </w:r>
    </w:p>
    <w:bookmarkEnd w:id="130"/>
    <w:bookmarkStart w:name="z137" w:id="131"/>
    <w:p>
      <w:pPr>
        <w:spacing w:after="0"/>
        <w:ind w:left="0"/>
        <w:jc w:val="both"/>
      </w:pPr>
      <w:r>
        <w:rPr>
          <w:rFonts w:ascii="Times New Roman"/>
          <w:b w:val="false"/>
          <w:i w:val="false"/>
          <w:color w:val="000000"/>
          <w:sz w:val="28"/>
        </w:rPr>
        <w:t>
      В труднодоступных районах на отдельных участках, где выбор местоположения реперов затруднен, расстояние между реперами может быть увеличено до 7 км (по трассе).</w:t>
      </w:r>
    </w:p>
    <w:bookmarkEnd w:id="131"/>
    <w:bookmarkStart w:name="z138" w:id="132"/>
    <w:p>
      <w:pPr>
        <w:spacing w:after="0"/>
        <w:ind w:left="0"/>
        <w:jc w:val="both"/>
      </w:pPr>
      <w:r>
        <w:rPr>
          <w:rFonts w:ascii="Times New Roman"/>
          <w:b w:val="false"/>
          <w:i w:val="false"/>
          <w:color w:val="000000"/>
          <w:sz w:val="28"/>
        </w:rPr>
        <w:t>
      82. В горных районах линии нивелирования I и II классов закрепляются скальными и стенными реперами через 1-2 км, а грунтовыми – через 3-4 км. На геодинамических полигонах вблизи разломов и границ основных блоков закладываются реперы через 0,5 - 1,5 км. На каждой стороне блока или разлома закладываются как минимум, по два репера.</w:t>
      </w:r>
    </w:p>
    <w:bookmarkEnd w:id="132"/>
    <w:bookmarkStart w:name="z139" w:id="133"/>
    <w:p>
      <w:pPr>
        <w:spacing w:after="0"/>
        <w:ind w:left="0"/>
        <w:jc w:val="both"/>
      </w:pPr>
      <w:r>
        <w:rPr>
          <w:rFonts w:ascii="Times New Roman"/>
          <w:b w:val="false"/>
          <w:i w:val="false"/>
          <w:color w:val="000000"/>
          <w:sz w:val="28"/>
        </w:rPr>
        <w:t>
      83. На линиях нивелирования I, II, III и IV классов закладывают реперы следующих типов: вековые, фундаментальные, грунтовые, скальные, стенные и временные.</w:t>
      </w:r>
    </w:p>
    <w:bookmarkEnd w:id="133"/>
    <w:bookmarkStart w:name="z140" w:id="134"/>
    <w:p>
      <w:pPr>
        <w:spacing w:after="0"/>
        <w:ind w:left="0"/>
        <w:jc w:val="both"/>
      </w:pPr>
      <w:r>
        <w:rPr>
          <w:rFonts w:ascii="Times New Roman"/>
          <w:b w:val="false"/>
          <w:i w:val="false"/>
          <w:color w:val="000000"/>
          <w:sz w:val="28"/>
        </w:rPr>
        <w:t>
      84. Каждый репер имеет свой индивидуальный номер, не повторяющийся на данной линии и по возможности на ближайших линиях нивелирования.</w:t>
      </w:r>
    </w:p>
    <w:bookmarkEnd w:id="134"/>
    <w:bookmarkStart w:name="z141" w:id="135"/>
    <w:p>
      <w:pPr>
        <w:spacing w:after="0"/>
        <w:ind w:left="0"/>
        <w:jc w:val="both"/>
      </w:pPr>
      <w:r>
        <w:rPr>
          <w:rFonts w:ascii="Times New Roman"/>
          <w:b w:val="false"/>
          <w:i w:val="false"/>
          <w:color w:val="000000"/>
          <w:sz w:val="28"/>
        </w:rPr>
        <w:t>
      85. Вековыми реперами закрепляют места пересечений линий нивелирования I класса, уровенные посты, ведущие наблюдения за вековой изменчивостью уровня моря, а также основные пункты нивелирной сети геодинамических полигонов.</w:t>
      </w:r>
    </w:p>
    <w:bookmarkEnd w:id="135"/>
    <w:bookmarkStart w:name="z142" w:id="136"/>
    <w:p>
      <w:pPr>
        <w:spacing w:after="0"/>
        <w:ind w:left="0"/>
        <w:jc w:val="both"/>
      </w:pPr>
      <w:r>
        <w:rPr>
          <w:rFonts w:ascii="Times New Roman"/>
          <w:b w:val="false"/>
          <w:i w:val="false"/>
          <w:color w:val="000000"/>
          <w:sz w:val="28"/>
        </w:rPr>
        <w:t>
      86. Фундаментальные реперы закладываются на нивелирных линиях I и II классов не реже чем через 60 км, а также на узловых пунктах, вблизи морских, основных речных и озерных уровенных постов.</w:t>
      </w:r>
    </w:p>
    <w:bookmarkEnd w:id="136"/>
    <w:bookmarkStart w:name="z143" w:id="137"/>
    <w:p>
      <w:pPr>
        <w:spacing w:after="0"/>
        <w:ind w:left="0"/>
        <w:jc w:val="both"/>
      </w:pPr>
      <w:r>
        <w:rPr>
          <w:rFonts w:ascii="Times New Roman"/>
          <w:b w:val="false"/>
          <w:i w:val="false"/>
          <w:color w:val="000000"/>
          <w:sz w:val="28"/>
        </w:rPr>
        <w:t>
      В сейсмоактивных районах фундаментальные реперы закладываются не реже чем через каждые 40 км.</w:t>
      </w:r>
    </w:p>
    <w:bookmarkEnd w:id="137"/>
    <w:bookmarkStart w:name="z144" w:id="138"/>
    <w:p>
      <w:pPr>
        <w:spacing w:after="0"/>
        <w:ind w:left="0"/>
        <w:jc w:val="both"/>
      </w:pPr>
      <w:r>
        <w:rPr>
          <w:rFonts w:ascii="Times New Roman"/>
          <w:b w:val="false"/>
          <w:i w:val="false"/>
          <w:color w:val="000000"/>
          <w:sz w:val="28"/>
        </w:rPr>
        <w:t>
      87. Координаты вековых и фундаментальных реперов определяют геодезическими приборами или спутниковыми приемниками с ошибкой не более 1 м, рядовых реперов и марок – с ошибкой не более 10 м.</w:t>
      </w:r>
    </w:p>
    <w:bookmarkEnd w:id="138"/>
    <w:bookmarkStart w:name="z145" w:id="139"/>
    <w:p>
      <w:pPr>
        <w:spacing w:after="0"/>
        <w:ind w:left="0"/>
        <w:jc w:val="both"/>
      </w:pPr>
      <w:r>
        <w:rPr>
          <w:rFonts w:ascii="Times New Roman"/>
          <w:b w:val="false"/>
          <w:i w:val="false"/>
          <w:color w:val="000000"/>
          <w:sz w:val="28"/>
        </w:rPr>
        <w:t>
      88. Для проложения нивелирных ходов IV класса, допускается применение метода спутникового нивелирования на локальных участках.</w:t>
      </w:r>
    </w:p>
    <w:bookmarkEnd w:id="139"/>
    <w:bookmarkStart w:name="z146" w:id="140"/>
    <w:p>
      <w:pPr>
        <w:spacing w:after="0"/>
        <w:ind w:left="0"/>
        <w:jc w:val="left"/>
      </w:pPr>
      <w:r>
        <w:rPr>
          <w:rFonts w:ascii="Times New Roman"/>
          <w:b/>
          <w:i w:val="false"/>
          <w:color w:val="000000"/>
        </w:rPr>
        <w:t xml:space="preserve"> Параграф 4. Математическая обработка измерений в ГНС и хранение информации</w:t>
      </w:r>
    </w:p>
    <w:bookmarkEnd w:id="140"/>
    <w:bookmarkStart w:name="z147" w:id="141"/>
    <w:p>
      <w:pPr>
        <w:spacing w:after="0"/>
        <w:ind w:left="0"/>
        <w:jc w:val="both"/>
      </w:pPr>
      <w:r>
        <w:rPr>
          <w:rFonts w:ascii="Times New Roman"/>
          <w:b w:val="false"/>
          <w:i w:val="false"/>
          <w:color w:val="000000"/>
          <w:sz w:val="28"/>
        </w:rPr>
        <w:t>
      89. Математическая обработка измерений в ГНС выполняется поэтапно по мере накопления материалов.</w:t>
      </w:r>
    </w:p>
    <w:bookmarkEnd w:id="141"/>
    <w:bookmarkStart w:name="z148" w:id="142"/>
    <w:p>
      <w:pPr>
        <w:spacing w:after="0"/>
        <w:ind w:left="0"/>
        <w:jc w:val="both"/>
      </w:pPr>
      <w:r>
        <w:rPr>
          <w:rFonts w:ascii="Times New Roman"/>
          <w:b w:val="false"/>
          <w:i w:val="false"/>
          <w:color w:val="000000"/>
          <w:sz w:val="28"/>
        </w:rPr>
        <w:t>
      90. Математическая обработка измерений, выполняемых при построении и модернизации нивелирных сетей, включает полевые вычисления, предварительные вычисления и уравнивание сетей.</w:t>
      </w:r>
    </w:p>
    <w:bookmarkEnd w:id="142"/>
    <w:bookmarkStart w:name="z149" w:id="143"/>
    <w:p>
      <w:pPr>
        <w:spacing w:after="0"/>
        <w:ind w:left="0"/>
        <w:jc w:val="both"/>
      </w:pPr>
      <w:r>
        <w:rPr>
          <w:rFonts w:ascii="Times New Roman"/>
          <w:b w:val="false"/>
          <w:i w:val="false"/>
          <w:color w:val="000000"/>
          <w:sz w:val="28"/>
        </w:rPr>
        <w:t>
      91. Полевые вычисления выполняются с целью контроля измерений на их соответствие допускам, установленным действующими нормативно-техническими актами и техническими предписаниями на выполнение работ.</w:t>
      </w:r>
    </w:p>
    <w:bookmarkEnd w:id="143"/>
    <w:bookmarkStart w:name="z150" w:id="144"/>
    <w:p>
      <w:pPr>
        <w:spacing w:after="0"/>
        <w:ind w:left="0"/>
        <w:jc w:val="both"/>
      </w:pPr>
      <w:r>
        <w:rPr>
          <w:rFonts w:ascii="Times New Roman"/>
          <w:b w:val="false"/>
          <w:i w:val="false"/>
          <w:color w:val="000000"/>
          <w:sz w:val="28"/>
        </w:rPr>
        <w:t>
      92. Об исполненных работах по нивелированию I, II, III и IV классов составляются технические отчеты и каталоги высот пунктов нивелирования.</w:t>
      </w:r>
    </w:p>
    <w:bookmarkEnd w:id="144"/>
    <w:bookmarkStart w:name="z151" w:id="145"/>
    <w:p>
      <w:pPr>
        <w:spacing w:after="0"/>
        <w:ind w:left="0"/>
        <w:jc w:val="both"/>
      </w:pPr>
      <w:r>
        <w:rPr>
          <w:rFonts w:ascii="Times New Roman"/>
          <w:b w:val="false"/>
          <w:i w:val="false"/>
          <w:color w:val="000000"/>
          <w:sz w:val="28"/>
        </w:rPr>
        <w:t>
      93. Результаты измерений и уравнивания сетей, координаты и высоты нивелирных пунктов, и другие характеристики нивелирования подлежат хранению в Национальном фонде пространственных данных.</w:t>
      </w:r>
    </w:p>
    <w:bookmarkEnd w:id="145"/>
    <w:bookmarkStart w:name="z152" w:id="146"/>
    <w:p>
      <w:pPr>
        <w:spacing w:after="0"/>
        <w:ind w:left="0"/>
        <w:jc w:val="left"/>
      </w:pPr>
      <w:r>
        <w:rPr>
          <w:rFonts w:ascii="Times New Roman"/>
          <w:b/>
          <w:i w:val="false"/>
          <w:color w:val="000000"/>
        </w:rPr>
        <w:t xml:space="preserve"> Глава 4. Государственная гравиметрическая сеть</w:t>
      </w:r>
    </w:p>
    <w:bookmarkEnd w:id="146"/>
    <w:bookmarkStart w:name="z153" w:id="147"/>
    <w:p>
      <w:pPr>
        <w:spacing w:after="0"/>
        <w:ind w:left="0"/>
        <w:jc w:val="left"/>
      </w:pPr>
      <w:r>
        <w:rPr>
          <w:rFonts w:ascii="Times New Roman"/>
          <w:b/>
          <w:i w:val="false"/>
          <w:color w:val="000000"/>
        </w:rPr>
        <w:t xml:space="preserve"> Параграф 1. Структура и точность государственной гравиметрической сети</w:t>
      </w:r>
    </w:p>
    <w:bookmarkEnd w:id="147"/>
    <w:bookmarkStart w:name="z154" w:id="148"/>
    <w:p>
      <w:pPr>
        <w:spacing w:after="0"/>
        <w:ind w:left="0"/>
        <w:jc w:val="both"/>
      </w:pPr>
      <w:r>
        <w:rPr>
          <w:rFonts w:ascii="Times New Roman"/>
          <w:b w:val="false"/>
          <w:i w:val="false"/>
          <w:color w:val="000000"/>
          <w:sz w:val="28"/>
        </w:rPr>
        <w:t>
      94. Государственная гравиметрическая сеть (далее – ГГрС) представляет собой совокупность закрепленных на местности пунктов, на которых выполняются абсолютные или относительные измерения ускорения силы тяжести и осуществляются определения высот и координат этих пунктов.</w:t>
      </w:r>
    </w:p>
    <w:bookmarkEnd w:id="148"/>
    <w:bookmarkStart w:name="z155" w:id="149"/>
    <w:p>
      <w:pPr>
        <w:spacing w:after="0"/>
        <w:ind w:left="0"/>
        <w:jc w:val="both"/>
      </w:pPr>
      <w:r>
        <w:rPr>
          <w:rFonts w:ascii="Times New Roman"/>
          <w:b w:val="false"/>
          <w:i w:val="false"/>
          <w:color w:val="000000"/>
          <w:sz w:val="28"/>
        </w:rPr>
        <w:t>
      95. ГГрС подразделяется на государственную фундаментальную гравиметрическую сеть (далее – ГФГС) и государственную гравиметрическую сеть 1 класса (далее – ГГрС-1).</w:t>
      </w:r>
    </w:p>
    <w:bookmarkEnd w:id="149"/>
    <w:bookmarkStart w:name="z156" w:id="150"/>
    <w:p>
      <w:pPr>
        <w:spacing w:after="0"/>
        <w:ind w:left="0"/>
        <w:jc w:val="both"/>
      </w:pPr>
      <w:r>
        <w:rPr>
          <w:rFonts w:ascii="Times New Roman"/>
          <w:b w:val="false"/>
          <w:i w:val="false"/>
          <w:color w:val="000000"/>
          <w:sz w:val="28"/>
        </w:rPr>
        <w:t>
      96. ГФГС является высшим звеном гравиметрической сети Республики Казахстан и служит для определения и уточнения гравиметрической системы страны, ее связи с мировой и зарубежными гравиметрическими системами, для метрологического обеспечения гравиметрических сетей низших классов и гравиметрических съемок.</w:t>
      </w:r>
    </w:p>
    <w:bookmarkEnd w:id="150"/>
    <w:bookmarkStart w:name="z157" w:id="151"/>
    <w:p>
      <w:pPr>
        <w:spacing w:after="0"/>
        <w:ind w:left="0"/>
        <w:jc w:val="both"/>
      </w:pPr>
      <w:r>
        <w:rPr>
          <w:rFonts w:ascii="Times New Roman"/>
          <w:b w:val="false"/>
          <w:i w:val="false"/>
          <w:color w:val="000000"/>
          <w:sz w:val="28"/>
        </w:rPr>
        <w:t>
      97. ГГрС-1 предназначена для распространения с требуемой точностью принятой гравиметрической системы на всю территорию страны.</w:t>
      </w:r>
    </w:p>
    <w:bookmarkEnd w:id="151"/>
    <w:bookmarkStart w:name="z158" w:id="152"/>
    <w:p>
      <w:pPr>
        <w:spacing w:after="0"/>
        <w:ind w:left="0"/>
        <w:jc w:val="both"/>
      </w:pPr>
      <w:r>
        <w:rPr>
          <w:rFonts w:ascii="Times New Roman"/>
          <w:b w:val="false"/>
          <w:i w:val="false"/>
          <w:color w:val="000000"/>
          <w:sz w:val="28"/>
        </w:rPr>
        <w:t>
      Очередность выполнения гравиметрических работ определяется в зависимости от геолого-тектонических особенностей регионов.</w:t>
      </w:r>
    </w:p>
    <w:bookmarkEnd w:id="152"/>
    <w:bookmarkStart w:name="z159" w:id="153"/>
    <w:p>
      <w:pPr>
        <w:spacing w:after="0"/>
        <w:ind w:left="0"/>
        <w:jc w:val="both"/>
      </w:pPr>
      <w:r>
        <w:rPr>
          <w:rFonts w:ascii="Times New Roman"/>
          <w:b w:val="false"/>
          <w:i w:val="false"/>
          <w:color w:val="000000"/>
          <w:sz w:val="28"/>
        </w:rPr>
        <w:t>
      98. Средняя плотность размещения пунктов ГФГС составляет 1 пункт на 200 000 - 250 000 кв. км.</w:t>
      </w:r>
    </w:p>
    <w:bookmarkEnd w:id="153"/>
    <w:bookmarkStart w:name="z160" w:id="154"/>
    <w:p>
      <w:pPr>
        <w:spacing w:after="0"/>
        <w:ind w:left="0"/>
        <w:jc w:val="both"/>
      </w:pPr>
      <w:r>
        <w:rPr>
          <w:rFonts w:ascii="Times New Roman"/>
          <w:b w:val="false"/>
          <w:i w:val="false"/>
          <w:color w:val="000000"/>
          <w:sz w:val="28"/>
        </w:rPr>
        <w:t>
      99. Пункт ГФГС считается совмещенным с пунктом ФАГС, если расстояние между ними в плане не превышает 50 м.</w:t>
      </w:r>
    </w:p>
    <w:bookmarkEnd w:id="154"/>
    <w:bookmarkStart w:name="z161" w:id="155"/>
    <w:p>
      <w:pPr>
        <w:spacing w:after="0"/>
        <w:ind w:left="0"/>
        <w:jc w:val="both"/>
      </w:pPr>
      <w:r>
        <w:rPr>
          <w:rFonts w:ascii="Times New Roman"/>
          <w:b w:val="false"/>
          <w:i w:val="false"/>
          <w:color w:val="000000"/>
          <w:sz w:val="28"/>
        </w:rPr>
        <w:t xml:space="preserve">
      100. На каждом пункте ГФГС выполняют абсолютные измерения ускорения силы тяжести, определения вертикального градиента ускорения силы тяжести и относительные измерения ускорения силы тяжести на их пункты-спутники, а также определения координат и высот пунктов. Гравиметрические определения выполняются одновременно с определением координат и высот. </w:t>
      </w:r>
    </w:p>
    <w:bookmarkEnd w:id="155"/>
    <w:bookmarkStart w:name="z162" w:id="156"/>
    <w:p>
      <w:pPr>
        <w:spacing w:after="0"/>
        <w:ind w:left="0"/>
        <w:jc w:val="both"/>
      </w:pPr>
      <w:r>
        <w:rPr>
          <w:rFonts w:ascii="Times New Roman"/>
          <w:b w:val="false"/>
          <w:i w:val="false"/>
          <w:color w:val="000000"/>
          <w:sz w:val="28"/>
        </w:rPr>
        <w:t>
      101. На пунктах ГФГС определяют уровень грунтовых и подземных вод, а а также влагонасыщенность почвы. Информацию о гидрологическом режиме получают от специализированных организаций.</w:t>
      </w:r>
    </w:p>
    <w:bookmarkEnd w:id="156"/>
    <w:bookmarkStart w:name="z163" w:id="157"/>
    <w:p>
      <w:pPr>
        <w:spacing w:after="0"/>
        <w:ind w:left="0"/>
        <w:jc w:val="both"/>
      </w:pPr>
      <w:r>
        <w:rPr>
          <w:rFonts w:ascii="Times New Roman"/>
          <w:b w:val="false"/>
          <w:i w:val="false"/>
          <w:color w:val="000000"/>
          <w:sz w:val="28"/>
        </w:rPr>
        <w:t>
      102. Вокруг каждого пункта ГФГС в радиусе до 50 км размещают не менее четырех пунктов-спутников, расположенными относительно него по направлениям на север, юг, восток и запад.</w:t>
      </w:r>
    </w:p>
    <w:bookmarkEnd w:id="157"/>
    <w:bookmarkStart w:name="z164" w:id="158"/>
    <w:p>
      <w:pPr>
        <w:spacing w:after="0"/>
        <w:ind w:left="0"/>
        <w:jc w:val="both"/>
      </w:pPr>
      <w:r>
        <w:rPr>
          <w:rFonts w:ascii="Times New Roman"/>
          <w:b w:val="false"/>
          <w:i w:val="false"/>
          <w:color w:val="000000"/>
          <w:sz w:val="28"/>
        </w:rPr>
        <w:t>
      Если пункты находятся в сейсмоактивных районах или в районах, где возможно проявление нестабильности гравитационного поля, число пунктов-спутников может быть увеличено до 20, а радиус их размещения – до 150 км.</w:t>
      </w:r>
    </w:p>
    <w:bookmarkEnd w:id="158"/>
    <w:bookmarkStart w:name="z165" w:id="159"/>
    <w:p>
      <w:pPr>
        <w:spacing w:after="0"/>
        <w:ind w:left="0"/>
        <w:jc w:val="both"/>
      </w:pPr>
      <w:r>
        <w:rPr>
          <w:rFonts w:ascii="Times New Roman"/>
          <w:b w:val="false"/>
          <w:i w:val="false"/>
          <w:color w:val="000000"/>
          <w:sz w:val="28"/>
        </w:rPr>
        <w:t>
      103. Для гравиметрических определений на основных центрах пунктов ГФГС применяют абсолютные гравиметры, руководствуясь при этом инструкциями по эксплуатации этих приборов и указаниями настоящей Инструкции.</w:t>
      </w:r>
    </w:p>
    <w:bookmarkEnd w:id="159"/>
    <w:bookmarkStart w:name="z166" w:id="160"/>
    <w:p>
      <w:pPr>
        <w:spacing w:after="0"/>
        <w:ind w:left="0"/>
        <w:jc w:val="both"/>
      </w:pPr>
      <w:r>
        <w:rPr>
          <w:rFonts w:ascii="Times New Roman"/>
          <w:b w:val="false"/>
          <w:i w:val="false"/>
          <w:color w:val="000000"/>
          <w:sz w:val="28"/>
        </w:rPr>
        <w:t>
      104. Для измерения на пунктах-спутниках ГФГС применяются относительные гравиметры.</w:t>
      </w:r>
    </w:p>
    <w:bookmarkEnd w:id="160"/>
    <w:bookmarkStart w:name="z167" w:id="161"/>
    <w:p>
      <w:pPr>
        <w:spacing w:after="0"/>
        <w:ind w:left="0"/>
        <w:jc w:val="both"/>
      </w:pPr>
      <w:r>
        <w:rPr>
          <w:rFonts w:ascii="Times New Roman"/>
          <w:b w:val="false"/>
          <w:i w:val="false"/>
          <w:color w:val="000000"/>
          <w:sz w:val="28"/>
        </w:rPr>
        <w:t>
      105. СКП абсолютных определений ускорения силы тяжести баллистическим гравиметром на основных пунктах ГФГС не превышает 5 мкГал. При определении пунктов-спутников СКП измеренных приращений силы тяжести не превышает 5 мкГал.</w:t>
      </w:r>
    </w:p>
    <w:bookmarkEnd w:id="161"/>
    <w:bookmarkStart w:name="z168" w:id="162"/>
    <w:p>
      <w:pPr>
        <w:spacing w:after="0"/>
        <w:ind w:left="0"/>
        <w:jc w:val="both"/>
      </w:pPr>
      <w:r>
        <w:rPr>
          <w:rFonts w:ascii="Times New Roman"/>
          <w:b w:val="false"/>
          <w:i w:val="false"/>
          <w:color w:val="000000"/>
          <w:sz w:val="28"/>
        </w:rPr>
        <w:t>
      106. Абсолютное значение ускорения силы тяжести на пунктах ГФГС относится к эффективной высоте на траектории свободного падения. Эффективная высота определяется с точностью до 1 мм.</w:t>
      </w:r>
    </w:p>
    <w:bookmarkEnd w:id="162"/>
    <w:bookmarkStart w:name="z169" w:id="163"/>
    <w:p>
      <w:pPr>
        <w:spacing w:after="0"/>
        <w:ind w:left="0"/>
        <w:jc w:val="both"/>
      </w:pPr>
      <w:r>
        <w:rPr>
          <w:rFonts w:ascii="Times New Roman"/>
          <w:b w:val="false"/>
          <w:i w:val="false"/>
          <w:color w:val="000000"/>
          <w:sz w:val="28"/>
        </w:rPr>
        <w:t>
      На основных центрах пунктов ГФГС должен быть определҰн вертикальный градиент ускорения силы тяжести над пятью точками постамента не менее чем на 3-х уровнях с точностью не хуже 3 мкГал/м.</w:t>
      </w:r>
    </w:p>
    <w:bookmarkEnd w:id="163"/>
    <w:bookmarkStart w:name="z170" w:id="164"/>
    <w:p>
      <w:pPr>
        <w:spacing w:after="0"/>
        <w:ind w:left="0"/>
        <w:jc w:val="both"/>
      </w:pPr>
      <w:r>
        <w:rPr>
          <w:rFonts w:ascii="Times New Roman"/>
          <w:b w:val="false"/>
          <w:i w:val="false"/>
          <w:color w:val="000000"/>
          <w:sz w:val="28"/>
        </w:rPr>
        <w:t>
      107. Построение ГГрС-1 осуществляют исходя из следующих принципов:</w:t>
      </w:r>
    </w:p>
    <w:bookmarkEnd w:id="164"/>
    <w:bookmarkStart w:name="z171" w:id="165"/>
    <w:p>
      <w:pPr>
        <w:spacing w:after="0"/>
        <w:ind w:left="0"/>
        <w:jc w:val="both"/>
      </w:pPr>
      <w:r>
        <w:rPr>
          <w:rFonts w:ascii="Times New Roman"/>
          <w:b w:val="false"/>
          <w:i w:val="false"/>
          <w:color w:val="000000"/>
          <w:sz w:val="28"/>
        </w:rPr>
        <w:t>
      1) основные пункты ГГрС-1 размещаются равномерно на расстоянии от 250 до 400 км один от другого;</w:t>
      </w:r>
    </w:p>
    <w:bookmarkEnd w:id="165"/>
    <w:bookmarkStart w:name="z172" w:id="166"/>
    <w:p>
      <w:pPr>
        <w:spacing w:after="0"/>
        <w:ind w:left="0"/>
        <w:jc w:val="both"/>
      </w:pPr>
      <w:r>
        <w:rPr>
          <w:rFonts w:ascii="Times New Roman"/>
          <w:b w:val="false"/>
          <w:i w:val="false"/>
          <w:color w:val="000000"/>
          <w:sz w:val="28"/>
        </w:rPr>
        <w:t>
      2) для измерения ускорения силы тяжести на основных центрах применяются абсолютные или относительные гравиметры;</w:t>
      </w:r>
    </w:p>
    <w:bookmarkEnd w:id="166"/>
    <w:bookmarkStart w:name="z173" w:id="167"/>
    <w:p>
      <w:pPr>
        <w:spacing w:after="0"/>
        <w:ind w:left="0"/>
        <w:jc w:val="both"/>
      </w:pPr>
      <w:r>
        <w:rPr>
          <w:rFonts w:ascii="Times New Roman"/>
          <w:b w:val="false"/>
          <w:i w:val="false"/>
          <w:color w:val="000000"/>
          <w:sz w:val="28"/>
        </w:rPr>
        <w:t>
      3) при определении основных пунктов 1 класса относительными методами исходными служат пункты ГФГС или основные пункты ГГрС-1 определҰнные абсолютным методом.</w:t>
      </w:r>
    </w:p>
    <w:bookmarkEnd w:id="167"/>
    <w:bookmarkStart w:name="z174" w:id="168"/>
    <w:p>
      <w:pPr>
        <w:spacing w:after="0"/>
        <w:ind w:left="0"/>
        <w:jc w:val="both"/>
      </w:pPr>
      <w:r>
        <w:rPr>
          <w:rFonts w:ascii="Times New Roman"/>
          <w:b w:val="false"/>
          <w:i w:val="false"/>
          <w:color w:val="000000"/>
          <w:sz w:val="28"/>
        </w:rPr>
        <w:t>
      108. Каждый основной пункт ГГрС-1 сопровождается пунктом-спутником, размещенным на расстоянии, не превышающем 150 км.</w:t>
      </w:r>
    </w:p>
    <w:bookmarkEnd w:id="168"/>
    <w:bookmarkStart w:name="z175" w:id="169"/>
    <w:p>
      <w:pPr>
        <w:spacing w:after="0"/>
        <w:ind w:left="0"/>
        <w:jc w:val="both"/>
      </w:pPr>
      <w:r>
        <w:rPr>
          <w:rFonts w:ascii="Times New Roman"/>
          <w:b w:val="false"/>
          <w:i w:val="false"/>
          <w:color w:val="000000"/>
          <w:sz w:val="28"/>
        </w:rPr>
        <w:t>
      109. При применении относительного метода, используют не менее 3-х приборов, а число приборо-связей выбирают в зависимости от фактической средней квадратической ошибки определения.</w:t>
      </w:r>
    </w:p>
    <w:bookmarkEnd w:id="169"/>
    <w:bookmarkStart w:name="z176" w:id="170"/>
    <w:p>
      <w:pPr>
        <w:spacing w:after="0"/>
        <w:ind w:left="0"/>
        <w:jc w:val="both"/>
      </w:pPr>
      <w:r>
        <w:rPr>
          <w:rFonts w:ascii="Times New Roman"/>
          <w:b w:val="false"/>
          <w:i w:val="false"/>
          <w:color w:val="000000"/>
          <w:sz w:val="28"/>
        </w:rPr>
        <w:t>
      110. СКП абсолютных определений ускорения силы тяжести абсолютным гравиметром на основных пунктах ГГрС-1 не превышает 10 мкГал. СКП определения разности значений ускорения силы тяжести между двумя связываемыми ГГрС-1, или между одним из них и пунктом ГФГС, не превышает 10 мкГал.</w:t>
      </w:r>
    </w:p>
    <w:bookmarkEnd w:id="170"/>
    <w:bookmarkStart w:name="z177" w:id="171"/>
    <w:p>
      <w:pPr>
        <w:spacing w:after="0"/>
        <w:ind w:left="0"/>
        <w:jc w:val="both"/>
      </w:pPr>
      <w:r>
        <w:rPr>
          <w:rFonts w:ascii="Times New Roman"/>
          <w:b w:val="false"/>
          <w:i w:val="false"/>
          <w:color w:val="000000"/>
          <w:sz w:val="28"/>
        </w:rPr>
        <w:t>
      111. Для измерений на пунктах-спутниках ГГрС-1 применяются относительные гравиметры.</w:t>
      </w:r>
    </w:p>
    <w:bookmarkEnd w:id="171"/>
    <w:bookmarkStart w:name="z178" w:id="172"/>
    <w:p>
      <w:pPr>
        <w:spacing w:after="0"/>
        <w:ind w:left="0"/>
        <w:jc w:val="both"/>
      </w:pPr>
      <w:r>
        <w:rPr>
          <w:rFonts w:ascii="Times New Roman"/>
          <w:b w:val="false"/>
          <w:i w:val="false"/>
          <w:color w:val="000000"/>
          <w:sz w:val="28"/>
        </w:rPr>
        <w:t>
      112. СКП определения пунктов-спутников ГГрС-1 не превышает 10 мкГал.</w:t>
      </w:r>
    </w:p>
    <w:bookmarkEnd w:id="172"/>
    <w:bookmarkStart w:name="z179" w:id="173"/>
    <w:p>
      <w:pPr>
        <w:spacing w:after="0"/>
        <w:ind w:left="0"/>
        <w:jc w:val="both"/>
      </w:pPr>
      <w:r>
        <w:rPr>
          <w:rFonts w:ascii="Times New Roman"/>
          <w:b w:val="false"/>
          <w:i w:val="false"/>
          <w:color w:val="000000"/>
          <w:sz w:val="28"/>
        </w:rPr>
        <w:t>
      113. Абсолютное значение ускорения силы тяжести на пунктах ГГрС-1 относится к эффективной высоте на траектории свободного падения. Эффективная высота определяется с точностью до 1 мм.</w:t>
      </w:r>
    </w:p>
    <w:bookmarkEnd w:id="173"/>
    <w:bookmarkStart w:name="z180" w:id="174"/>
    <w:p>
      <w:pPr>
        <w:spacing w:after="0"/>
        <w:ind w:left="0"/>
        <w:jc w:val="both"/>
      </w:pPr>
      <w:r>
        <w:rPr>
          <w:rFonts w:ascii="Times New Roman"/>
          <w:b w:val="false"/>
          <w:i w:val="false"/>
          <w:color w:val="000000"/>
          <w:sz w:val="28"/>
        </w:rPr>
        <w:t>
      На основных центрах пунктов ГГрС-1 должен быть определҰн вертикальный градиент ускорения силы тяжести над маркой постамента не менее чем на 3-х уровнях с точностью не хуже 3 мкГал/м.</w:t>
      </w:r>
    </w:p>
    <w:bookmarkEnd w:id="174"/>
    <w:bookmarkStart w:name="z181" w:id="175"/>
    <w:p>
      <w:pPr>
        <w:spacing w:after="0"/>
        <w:ind w:left="0"/>
        <w:jc w:val="left"/>
      </w:pPr>
      <w:r>
        <w:rPr>
          <w:rFonts w:ascii="Times New Roman"/>
          <w:b/>
          <w:i w:val="false"/>
          <w:color w:val="000000"/>
        </w:rPr>
        <w:t xml:space="preserve"> Параграф 2. Гравиметрическая система отсчета</w:t>
      </w:r>
    </w:p>
    <w:bookmarkEnd w:id="175"/>
    <w:bookmarkStart w:name="z182" w:id="176"/>
    <w:p>
      <w:pPr>
        <w:spacing w:after="0"/>
        <w:ind w:left="0"/>
        <w:jc w:val="both"/>
      </w:pPr>
      <w:r>
        <w:rPr>
          <w:rFonts w:ascii="Times New Roman"/>
          <w:b w:val="false"/>
          <w:i w:val="false"/>
          <w:color w:val="000000"/>
          <w:sz w:val="28"/>
        </w:rPr>
        <w:t>
      114. Для осуществления гравиметрических работ на всей территории Республики Казахстан используются абсолютные значения силы тяжести в Международной системе единиц (СИ). В отношении результатов гравиметрических измерений допускается использование внесистемных единиц – Гал.</w:t>
      </w:r>
    </w:p>
    <w:bookmarkEnd w:id="176"/>
    <w:bookmarkStart w:name="z183" w:id="177"/>
    <w:p>
      <w:pPr>
        <w:spacing w:after="0"/>
        <w:ind w:left="0"/>
        <w:jc w:val="both"/>
      </w:pPr>
      <w:r>
        <w:rPr>
          <w:rFonts w:ascii="Times New Roman"/>
          <w:b w:val="false"/>
          <w:i w:val="false"/>
          <w:color w:val="000000"/>
          <w:sz w:val="28"/>
        </w:rPr>
        <w:t>
      115. В качестве государственной гравиметрической системы используется гравиметрическая отсчетная система, основанная на принципах Международной земной гравиметрической системы – International Terrestrial Gravity Reference System (далее – ITGRS).</w:t>
      </w:r>
    </w:p>
    <w:bookmarkEnd w:id="177"/>
    <w:bookmarkStart w:name="z184" w:id="178"/>
    <w:p>
      <w:pPr>
        <w:spacing w:after="0"/>
        <w:ind w:left="0"/>
        <w:jc w:val="both"/>
      </w:pPr>
      <w:r>
        <w:rPr>
          <w:rFonts w:ascii="Times New Roman"/>
          <w:b w:val="false"/>
          <w:i w:val="false"/>
          <w:color w:val="000000"/>
          <w:sz w:val="28"/>
        </w:rPr>
        <w:t>
      Государственная гравиметрическая система отсчҰта реализуется пунктами ГФГС и ГГрС-1 в соответствии с концепцией ITGRF.</w:t>
      </w:r>
    </w:p>
    <w:bookmarkEnd w:id="178"/>
    <w:bookmarkStart w:name="z185" w:id="179"/>
    <w:p>
      <w:pPr>
        <w:spacing w:after="0"/>
        <w:ind w:left="0"/>
        <w:jc w:val="both"/>
      </w:pPr>
      <w:r>
        <w:rPr>
          <w:rFonts w:ascii="Times New Roman"/>
          <w:b w:val="false"/>
          <w:i w:val="false"/>
          <w:color w:val="000000"/>
          <w:sz w:val="28"/>
        </w:rPr>
        <w:t>
      116. Для связи государственной гравиметрической сети с ITGRF обеспечивается прослеживаемость единицы ускорения силы тяжести от ключевых сравнений абсолютных гравиметров и загрузку результатов абсолютных измерений на пунктах ГФГС и ГГрС-1 в международную базу данных абсолютных гравиметров.</w:t>
      </w:r>
    </w:p>
    <w:bookmarkEnd w:id="179"/>
    <w:bookmarkStart w:name="z186" w:id="180"/>
    <w:p>
      <w:pPr>
        <w:spacing w:after="0"/>
        <w:ind w:left="0"/>
        <w:jc w:val="both"/>
      </w:pPr>
      <w:r>
        <w:rPr>
          <w:rFonts w:ascii="Times New Roman"/>
          <w:b w:val="false"/>
          <w:i w:val="false"/>
          <w:color w:val="000000"/>
          <w:sz w:val="28"/>
        </w:rPr>
        <w:t>
      117. Пункт ГФГС, на котором имеется продолжительный ряд повторных определений ускорения силы тяжести, является Главным гравиметрическим пунктом Республики Казахстан.</w:t>
      </w:r>
    </w:p>
    <w:bookmarkEnd w:id="180"/>
    <w:bookmarkStart w:name="z187" w:id="181"/>
    <w:p>
      <w:pPr>
        <w:spacing w:after="0"/>
        <w:ind w:left="0"/>
        <w:jc w:val="left"/>
      </w:pPr>
      <w:r>
        <w:rPr>
          <w:rFonts w:ascii="Times New Roman"/>
          <w:b/>
          <w:i w:val="false"/>
          <w:color w:val="000000"/>
        </w:rPr>
        <w:t xml:space="preserve"> Параграф 3. Развитие государственной гравиметрической сети</w:t>
      </w:r>
    </w:p>
    <w:bookmarkEnd w:id="181"/>
    <w:bookmarkStart w:name="z188" w:id="182"/>
    <w:p>
      <w:pPr>
        <w:spacing w:after="0"/>
        <w:ind w:left="0"/>
        <w:jc w:val="both"/>
      </w:pPr>
      <w:r>
        <w:rPr>
          <w:rFonts w:ascii="Times New Roman"/>
          <w:b w:val="false"/>
          <w:i w:val="false"/>
          <w:color w:val="000000"/>
          <w:sz w:val="28"/>
        </w:rPr>
        <w:t>
      118. Задание, поддержание и воспроизведение гравиметрической системы на уровне требований, обеспечивающих решение фундаментальных перспективных задач в области геодезии обусловливает необходимость создания гравиметрической основы на качественно новом, более высоком уровне точности, а также необходимость периодического обновления гравиметрической сети.</w:t>
      </w:r>
    </w:p>
    <w:bookmarkEnd w:id="182"/>
    <w:bookmarkStart w:name="z189" w:id="183"/>
    <w:p>
      <w:pPr>
        <w:spacing w:after="0"/>
        <w:ind w:left="0"/>
        <w:jc w:val="both"/>
      </w:pPr>
      <w:r>
        <w:rPr>
          <w:rFonts w:ascii="Times New Roman"/>
          <w:b w:val="false"/>
          <w:i w:val="false"/>
          <w:color w:val="000000"/>
          <w:sz w:val="28"/>
        </w:rPr>
        <w:t>
      119. По мере развития гравиметрической сети выполняется обработка и уточняются значения аномалий ускорения силы тяжести пунктов в Казахстанской гравиметрической системе отсчҰта – QazGRF.</w:t>
      </w:r>
    </w:p>
    <w:bookmarkEnd w:id="183"/>
    <w:bookmarkStart w:name="z190" w:id="184"/>
    <w:p>
      <w:pPr>
        <w:spacing w:after="0"/>
        <w:ind w:left="0"/>
        <w:jc w:val="both"/>
      </w:pPr>
      <w:r>
        <w:rPr>
          <w:rFonts w:ascii="Times New Roman"/>
          <w:b w:val="false"/>
          <w:i w:val="false"/>
          <w:color w:val="000000"/>
          <w:sz w:val="28"/>
        </w:rPr>
        <w:t>
      120. Производственный цикл построения гравиметрических сетей состоит из следующих основных видов работ: проектирование; рекогносцировка и закрепление центров; выполнение измерений; математическая обработка; ведение базы данных гравиметрической сети; составление технических отчетов.</w:t>
      </w:r>
    </w:p>
    <w:bookmarkEnd w:id="184"/>
    <w:bookmarkStart w:name="z191" w:id="185"/>
    <w:p>
      <w:pPr>
        <w:spacing w:after="0"/>
        <w:ind w:left="0"/>
        <w:jc w:val="both"/>
      </w:pPr>
      <w:r>
        <w:rPr>
          <w:rFonts w:ascii="Times New Roman"/>
          <w:b w:val="false"/>
          <w:i w:val="false"/>
          <w:color w:val="000000"/>
          <w:sz w:val="28"/>
        </w:rPr>
        <w:t>
      121. Проектирование гравиметрической сети выполняется с учетом всех ранее исполненных работ после обследования сохранности гравиметрических пунктов и их центров.</w:t>
      </w:r>
    </w:p>
    <w:bookmarkEnd w:id="185"/>
    <w:bookmarkStart w:name="z192" w:id="186"/>
    <w:p>
      <w:pPr>
        <w:spacing w:after="0"/>
        <w:ind w:left="0"/>
        <w:jc w:val="both"/>
      </w:pPr>
      <w:r>
        <w:rPr>
          <w:rFonts w:ascii="Times New Roman"/>
          <w:b w:val="false"/>
          <w:i w:val="false"/>
          <w:color w:val="000000"/>
          <w:sz w:val="28"/>
        </w:rPr>
        <w:t>
      Типы центров устанавливаются в зависимости от физико-географических условий района работ, глубины промерзания и оттаивания грунтов, гидрогеологического режима и других особенностей местности.</w:t>
      </w:r>
    </w:p>
    <w:bookmarkEnd w:id="186"/>
    <w:bookmarkStart w:name="z193" w:id="187"/>
    <w:p>
      <w:pPr>
        <w:spacing w:after="0"/>
        <w:ind w:left="0"/>
        <w:jc w:val="both"/>
      </w:pPr>
      <w:r>
        <w:rPr>
          <w:rFonts w:ascii="Times New Roman"/>
          <w:b w:val="false"/>
          <w:i w:val="false"/>
          <w:color w:val="000000"/>
          <w:sz w:val="28"/>
        </w:rPr>
        <w:t>
      122. Гравиметрические пункты проектируются в наиболее удобных для использования местах с хорошими условиями наблюдений. При построении ГГрС выполняется техническое и рабочее проектирование сети.</w:t>
      </w:r>
    </w:p>
    <w:bookmarkEnd w:id="187"/>
    <w:bookmarkStart w:name="z194" w:id="188"/>
    <w:p>
      <w:pPr>
        <w:spacing w:after="0"/>
        <w:ind w:left="0"/>
        <w:jc w:val="both"/>
      </w:pPr>
      <w:r>
        <w:rPr>
          <w:rFonts w:ascii="Times New Roman"/>
          <w:b w:val="false"/>
          <w:i w:val="false"/>
          <w:color w:val="000000"/>
          <w:sz w:val="28"/>
        </w:rPr>
        <w:t>
      123. Уничтожение или повреждение гравиметрических пунктов влечет за собой ответственность в соответствии с законодательными актами Республики Казахстан.</w:t>
      </w:r>
    </w:p>
    <w:bookmarkEnd w:id="188"/>
    <w:bookmarkStart w:name="z195" w:id="189"/>
    <w:p>
      <w:pPr>
        <w:spacing w:after="0"/>
        <w:ind w:left="0"/>
        <w:jc w:val="left"/>
      </w:pPr>
      <w:r>
        <w:rPr>
          <w:rFonts w:ascii="Times New Roman"/>
          <w:b/>
          <w:i w:val="false"/>
          <w:color w:val="000000"/>
        </w:rPr>
        <w:t xml:space="preserve"> Параграф 4. Математическая обработка измерений в ГГрС и хранение информации</w:t>
      </w:r>
    </w:p>
    <w:bookmarkEnd w:id="189"/>
    <w:bookmarkStart w:name="z196" w:id="190"/>
    <w:p>
      <w:pPr>
        <w:spacing w:after="0"/>
        <w:ind w:left="0"/>
        <w:jc w:val="both"/>
      </w:pPr>
      <w:r>
        <w:rPr>
          <w:rFonts w:ascii="Times New Roman"/>
          <w:b w:val="false"/>
          <w:i w:val="false"/>
          <w:color w:val="000000"/>
          <w:sz w:val="28"/>
        </w:rPr>
        <w:t>
      124. Математическая обработка измерений в ГГрС выполняется поэтапно по мере накопления материалов.</w:t>
      </w:r>
    </w:p>
    <w:bookmarkEnd w:id="190"/>
    <w:bookmarkStart w:name="z197" w:id="191"/>
    <w:p>
      <w:pPr>
        <w:spacing w:after="0"/>
        <w:ind w:left="0"/>
        <w:jc w:val="both"/>
      </w:pPr>
      <w:r>
        <w:rPr>
          <w:rFonts w:ascii="Times New Roman"/>
          <w:b w:val="false"/>
          <w:i w:val="false"/>
          <w:color w:val="000000"/>
          <w:sz w:val="28"/>
        </w:rPr>
        <w:t>
      125. Математическая обработка измерений, выполняемых при построении и модернизации гравиметрических сетей, включает полевые вычисления, предварительные вычисления и постобработку.</w:t>
      </w:r>
    </w:p>
    <w:bookmarkEnd w:id="191"/>
    <w:bookmarkStart w:name="z198" w:id="192"/>
    <w:p>
      <w:pPr>
        <w:spacing w:after="0"/>
        <w:ind w:left="0"/>
        <w:jc w:val="both"/>
      </w:pPr>
      <w:r>
        <w:rPr>
          <w:rFonts w:ascii="Times New Roman"/>
          <w:b w:val="false"/>
          <w:i w:val="false"/>
          <w:color w:val="000000"/>
          <w:sz w:val="28"/>
        </w:rPr>
        <w:t>
      126. Полевые вычисления выполняются с целью контроля измерений на их соответствие допускам, установленным действующими нормативно-техническими актами и техническими предписаниями на выполнение работ.</w:t>
      </w:r>
    </w:p>
    <w:bookmarkEnd w:id="192"/>
    <w:bookmarkStart w:name="z199" w:id="193"/>
    <w:p>
      <w:pPr>
        <w:spacing w:after="0"/>
        <w:ind w:left="0"/>
        <w:jc w:val="both"/>
      </w:pPr>
      <w:r>
        <w:rPr>
          <w:rFonts w:ascii="Times New Roman"/>
          <w:b w:val="false"/>
          <w:i w:val="false"/>
          <w:color w:val="000000"/>
          <w:sz w:val="28"/>
        </w:rPr>
        <w:t>
      127. Об исполненных работах по наблюдениям на пунктах ГФГС и ГГрС-1 составляются технические отчеты.</w:t>
      </w:r>
    </w:p>
    <w:bookmarkEnd w:id="193"/>
    <w:bookmarkStart w:name="z200" w:id="194"/>
    <w:p>
      <w:pPr>
        <w:spacing w:after="0"/>
        <w:ind w:left="0"/>
        <w:jc w:val="both"/>
      </w:pPr>
      <w:r>
        <w:rPr>
          <w:rFonts w:ascii="Times New Roman"/>
          <w:b w:val="false"/>
          <w:i w:val="false"/>
          <w:color w:val="000000"/>
          <w:sz w:val="28"/>
        </w:rPr>
        <w:t>
      128. Результаты измерений и обработки на пунктах сети, координаты и высоты гравиметрических пунктов, и другие характеристики гравиметрических определений подлежат хранению в Национальном фонде пространственных данных.</w:t>
      </w:r>
    </w:p>
    <w:bookmarkEnd w:id="194"/>
    <w:bookmarkStart w:name="z201" w:id="195"/>
    <w:p>
      <w:pPr>
        <w:spacing w:after="0"/>
        <w:ind w:left="0"/>
        <w:jc w:val="both"/>
      </w:pPr>
      <w:r>
        <w:rPr>
          <w:rFonts w:ascii="Times New Roman"/>
          <w:b w:val="false"/>
          <w:i w:val="false"/>
          <w:color w:val="000000"/>
          <w:sz w:val="28"/>
        </w:rPr>
        <w:t>
      Хранению подлежат исходные файлы измерений, полученные по наблюдениям всех видов гравиметров, способных записывать измерительную информацию в цифровом виде.</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