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68f4" w14:textId="c9b6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19 марта 2018 года № 391 "Об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w:t>
      </w:r>
    </w:p>
    <w:p>
      <w:pPr>
        <w:spacing w:after="0"/>
        <w:ind w:left="0"/>
        <w:jc w:val="both"/>
      </w:pPr>
      <w:r>
        <w:rPr>
          <w:rFonts w:ascii="Times New Roman"/>
          <w:b w:val="false"/>
          <w:i w:val="false"/>
          <w:color w:val="000000"/>
          <w:sz w:val="28"/>
        </w:rPr>
        <w:t>Приказ и.о. Заместителя Премьер-Министра - и.о. Министра финансов Республики Казахстан от 20 марта 2023 года № 289. Зарегистрирован в Министерстве юстиции Республики Казахстан 20 марта 2023 года № 32116.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финансов РК от 30.10.2025 </w:t>
      </w:r>
      <w:r>
        <w:rPr>
          <w:rFonts w:ascii="Times New Roman"/>
          <w:b w:val="false"/>
          <w:i w:val="false"/>
          <w:color w:val="ff0000"/>
          <w:sz w:val="28"/>
        </w:rPr>
        <w:t>№ 649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16.06.2026).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марта 2018 года № 391 "Об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 (зарегистрирован в Реестре государственной регистрации нормативных правовых актов под № 16669)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"Возврат превышения налога на добавленную стоимость из бюджета" изложенный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 основных требований).";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9 изложить в следующей редакции:</w:t>
      </w:r>
    </w:p>
    <w:bookmarkStart w:name="z10" w:id="5"/>
    <w:p>
      <w:pPr>
        <w:spacing w:after="0"/>
        <w:ind w:left="0"/>
        <w:jc w:val="both"/>
      </w:pPr>
      <w:r>
        <w:rPr>
          <w:rFonts w:ascii="Times New Roman"/>
          <w:b w:val="false"/>
          <w:i w:val="false"/>
          <w:color w:val="000000"/>
          <w:sz w:val="28"/>
        </w:rPr>
        <w:t>
      "2) по остальным услугополучателям – в течение 75 (семидесяти пяти) рабочих дней.";</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изложить в следующей редакции:</w:t>
      </w:r>
    </w:p>
    <w:bookmarkStart w:name="z13" w:id="7"/>
    <w:p>
      <w:pPr>
        <w:spacing w:after="0"/>
        <w:ind w:left="0"/>
        <w:jc w:val="both"/>
      </w:pPr>
      <w:r>
        <w:rPr>
          <w:rFonts w:ascii="Times New Roman"/>
          <w:b w:val="false"/>
          <w:i w:val="false"/>
          <w:color w:val="000000"/>
          <w:sz w:val="28"/>
        </w:rPr>
        <w:t xml:space="preserve">
      "3) экспортеры сырья при конвертации не менее 50 (пятидесяти) процентов валютной выручки, поступившей за налоговый период, перечень которых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434 Налогового кодекса утверждается Постановлением Правительства Республики Казахстан "Об утверждении перечня экспортеров сырья, имеющих право на применение упрощенного порядка возврата превышения налога на добавленную стоимость при конвертации не менее 50 (пятидесяти) процентов валютной выручки, поступившей за налоговый период" (далее – Перечень экспортеров сырья).";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изложить в следующей редакции:</w:t>
      </w:r>
    </w:p>
    <w:bookmarkStart w:name="z15" w:id="8"/>
    <w:p>
      <w:pPr>
        <w:spacing w:after="0"/>
        <w:ind w:left="0"/>
        <w:jc w:val="both"/>
      </w:pPr>
      <w:r>
        <w:rPr>
          <w:rFonts w:ascii="Times New Roman"/>
          <w:b w:val="false"/>
          <w:i w:val="false"/>
          <w:color w:val="000000"/>
          <w:sz w:val="28"/>
        </w:rPr>
        <w:t>
      "3) для услугополучателей, являющихся производителями товаров собственного производства обрабатывающей промышленности включенных в Перечень производителей товаров собственного производства:</w:t>
      </w:r>
    </w:p>
    <w:bookmarkEnd w:id="8"/>
    <w:bookmarkStart w:name="z16" w:id="9"/>
    <w:p>
      <w:pPr>
        <w:spacing w:after="0"/>
        <w:ind w:left="0"/>
        <w:jc w:val="both"/>
      </w:pPr>
      <w:r>
        <w:rPr>
          <w:rFonts w:ascii="Times New Roman"/>
          <w:b w:val="false"/>
          <w:i w:val="false"/>
          <w:color w:val="000000"/>
          <w:sz w:val="28"/>
        </w:rPr>
        <w:t xml:space="preserve">
      соответствующих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в размере не более 50 (пятидесяти) процентов от суммы превышения НДС, сложившегося за отчетный налоговый период;</w:t>
      </w:r>
    </w:p>
    <w:bookmarkEnd w:id="9"/>
    <w:bookmarkStart w:name="z17" w:id="10"/>
    <w:p>
      <w:pPr>
        <w:spacing w:after="0"/>
        <w:ind w:left="0"/>
        <w:jc w:val="both"/>
      </w:pPr>
      <w:r>
        <w:rPr>
          <w:rFonts w:ascii="Times New Roman"/>
          <w:b w:val="false"/>
          <w:i w:val="false"/>
          <w:color w:val="000000"/>
          <w:sz w:val="28"/>
        </w:rPr>
        <w:t xml:space="preserve">
      соответствующих условиям </w:t>
      </w:r>
      <w:r>
        <w:rPr>
          <w:rFonts w:ascii="Times New Roman"/>
          <w:b w:val="false"/>
          <w:i w:val="false"/>
          <w:color w:val="000000"/>
          <w:sz w:val="28"/>
        </w:rPr>
        <w:t>пункта 3</w:t>
      </w:r>
      <w:r>
        <w:rPr>
          <w:rFonts w:ascii="Times New Roman"/>
          <w:b w:val="false"/>
          <w:i w:val="false"/>
          <w:color w:val="000000"/>
          <w:sz w:val="28"/>
        </w:rPr>
        <w:t xml:space="preserve"> статьи 429 Налогового кодекса, в размере не более 50 (пятидесяти) процентов от части суммы НДС, отнесенного в зачет по товарам (работам, услугам), использованным для целей оборота по реализации, облагаемого по нулевой ставке, но не более 50 (пятидесяти) процентов от суммы превышения НДС, сложившегося за отчетный налоговый период;</w:t>
      </w:r>
    </w:p>
    <w:bookmarkEnd w:id="10"/>
    <w:bookmarkStart w:name="z18" w:id="11"/>
    <w:p>
      <w:pPr>
        <w:spacing w:after="0"/>
        <w:ind w:left="0"/>
        <w:jc w:val="both"/>
      </w:pPr>
      <w:r>
        <w:rPr>
          <w:rFonts w:ascii="Times New Roman"/>
          <w:b w:val="false"/>
          <w:i w:val="false"/>
          <w:color w:val="000000"/>
          <w:sz w:val="28"/>
        </w:rPr>
        <w:t xml:space="preserve">
      4) для услугополучателя, включенного в Перечень экспортеров сырья, которые соответствуют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в размере не более 80 (восьмидесяти) процентов от суммы превышения НДС, сложившегося за отчетный налоговый период.";</w:t>
      </w:r>
    </w:p>
    <w:bookmarkEnd w:id="11"/>
    <w:bookmarkStart w:name="z19" w:id="1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2"/>
    <w:bookmarkStart w:name="z20" w:id="13"/>
    <w:p>
      <w:pPr>
        <w:spacing w:after="0"/>
        <w:ind w:left="0"/>
        <w:jc w:val="both"/>
      </w:pPr>
      <w:r>
        <w:rPr>
          <w:rFonts w:ascii="Times New Roman"/>
          <w:b w:val="false"/>
          <w:i w:val="false"/>
          <w:color w:val="000000"/>
          <w:sz w:val="28"/>
        </w:rPr>
        <w:t xml:space="preserve">
      "При реорганизации путем слияния или присоединения налогоплательщиков, указанных в подпунктах 2) и 3) части первой пункта 2 </w:t>
      </w:r>
      <w:r>
        <w:rPr>
          <w:rFonts w:ascii="Times New Roman"/>
          <w:b w:val="false"/>
          <w:i w:val="false"/>
          <w:color w:val="000000"/>
          <w:sz w:val="28"/>
        </w:rPr>
        <w:t>статьи 434</w:t>
      </w:r>
      <w:r>
        <w:rPr>
          <w:rFonts w:ascii="Times New Roman"/>
          <w:b w:val="false"/>
          <w:i w:val="false"/>
          <w:color w:val="000000"/>
          <w:sz w:val="28"/>
        </w:rPr>
        <w:t xml:space="preserve"> Налогового кодекса, услугодатель проверяет факт проведения тематической проверки в отношении реорганизованного услугополучателя.";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"23. По услугополучателю, представившего требование на возврат НДС в упрощенном порядке в качестве производителя товаров собственного производства и (или) экспортера сырья, осуществляющего конвертацию валютной выручки, услугодатель при представлении услугополучателем требования в течение 2 (двух)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проверяет наличие услугополучателя в Перечне производителей товаров собственного производства или в Перечне экспортеров сырья, и проверяет соответствие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w:t>
      </w:r>
    </w:p>
    <w:bookmarkEnd w:id="14"/>
    <w:bookmarkStart w:name="z23" w:id="15"/>
    <w:p>
      <w:pPr>
        <w:spacing w:after="0"/>
        <w:ind w:left="0"/>
        <w:jc w:val="both"/>
      </w:pPr>
      <w:r>
        <w:rPr>
          <w:rFonts w:ascii="Times New Roman"/>
          <w:b w:val="false"/>
          <w:i w:val="false"/>
          <w:color w:val="000000"/>
          <w:sz w:val="28"/>
        </w:rPr>
        <w:t>
      24. При представлении услугополучателем требования в соответствии с подпунктом 3) пункта 20 настоящих Правил, осуществивший экспорт сырья, услугодатель направляет в Национальный Банк Республики Казахстан (далее – Национальный банк) и (или) банк второго уровня (далее – БВУ) запрос о конвертации валютной выручки в течение 2 (двух) рабочих дней со дня представления требования.</w:t>
      </w:r>
    </w:p>
    <w:bookmarkEnd w:id="15"/>
    <w:bookmarkStart w:name="z24" w:id="16"/>
    <w:p>
      <w:pPr>
        <w:spacing w:after="0"/>
        <w:ind w:left="0"/>
        <w:jc w:val="both"/>
      </w:pPr>
      <w:r>
        <w:rPr>
          <w:rFonts w:ascii="Times New Roman"/>
          <w:b w:val="false"/>
          <w:i w:val="false"/>
          <w:color w:val="000000"/>
          <w:sz w:val="28"/>
        </w:rPr>
        <w:t>
      При определении суммы превышения НДС, подлежащей возврату, учитывается заключение о конвертации валютной выручки, представленное Национальным банком и (или) БВУ.</w:t>
      </w:r>
    </w:p>
    <w:bookmarkEnd w:id="16"/>
    <w:bookmarkStart w:name="z25" w:id="17"/>
    <w:p>
      <w:pPr>
        <w:spacing w:after="0"/>
        <w:ind w:left="0"/>
        <w:jc w:val="both"/>
      </w:pPr>
      <w:r>
        <w:rPr>
          <w:rFonts w:ascii="Times New Roman"/>
          <w:b w:val="false"/>
          <w:i w:val="false"/>
          <w:color w:val="000000"/>
          <w:sz w:val="28"/>
        </w:rPr>
        <w:t>
      25. При соответствии услугополучателя условиям, предусмотренных пунктами 22, а также 23 или 24 настоящих Правил, услугодатель определяет сумму превышения НДС, подлежащую возврату в упрощенном порядке в соответствии с параграфом 4 главы 3 настоящих Правил</w:t>
      </w:r>
    </w:p>
    <w:bookmarkEnd w:id="17"/>
    <w:bookmarkStart w:name="z26" w:id="18"/>
    <w:p>
      <w:pPr>
        <w:spacing w:after="0"/>
        <w:ind w:left="0"/>
        <w:jc w:val="both"/>
      </w:pPr>
      <w:r>
        <w:rPr>
          <w:rFonts w:ascii="Times New Roman"/>
          <w:b w:val="false"/>
          <w:i w:val="false"/>
          <w:color w:val="000000"/>
          <w:sz w:val="28"/>
        </w:rPr>
        <w:t xml:space="preserve">
      При этом, если сумма превышения НДС, подлежащая возврату в упрощенном порядке, меньше указанной в требовании, на оставшуюся сумму превышения НДС применяются положения </w:t>
      </w:r>
      <w:r>
        <w:rPr>
          <w:rFonts w:ascii="Times New Roman"/>
          <w:b w:val="false"/>
          <w:i w:val="false"/>
          <w:color w:val="000000"/>
          <w:sz w:val="28"/>
        </w:rPr>
        <w:t>статьи 431</w:t>
      </w:r>
      <w:r>
        <w:rPr>
          <w:rFonts w:ascii="Times New Roman"/>
          <w:b w:val="false"/>
          <w:i w:val="false"/>
          <w:color w:val="000000"/>
          <w:sz w:val="28"/>
        </w:rPr>
        <w:t xml:space="preserve"> Налогового кодекса.</w:t>
      </w:r>
    </w:p>
    <w:bookmarkEnd w:id="18"/>
    <w:bookmarkStart w:name="z27" w:id="19"/>
    <w:p>
      <w:pPr>
        <w:spacing w:after="0"/>
        <w:ind w:left="0"/>
        <w:jc w:val="both"/>
      </w:pPr>
      <w:r>
        <w:rPr>
          <w:rFonts w:ascii="Times New Roman"/>
          <w:b w:val="false"/>
          <w:i w:val="false"/>
          <w:color w:val="000000"/>
          <w:sz w:val="28"/>
        </w:rPr>
        <w:t xml:space="preserve">
      26. При установлении несоответствия условиям, предусмотренным пунктами 22, 23 или 24 настоящих Правил, услугополучателю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АППК направляется уведомление об отсутствии права на применение упрощенного порядка возврата превышения НДС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 приложением расчета баллов и расшифровки расчета показателей, учтенных по каждому критерию.</w:t>
      </w:r>
    </w:p>
    <w:bookmarkEnd w:id="19"/>
    <w:bookmarkStart w:name="z28" w:id="20"/>
    <w:p>
      <w:pPr>
        <w:spacing w:after="0"/>
        <w:ind w:left="0"/>
        <w:jc w:val="both"/>
      </w:pPr>
      <w:r>
        <w:rPr>
          <w:rFonts w:ascii="Times New Roman"/>
          <w:b w:val="false"/>
          <w:i w:val="false"/>
          <w:color w:val="000000"/>
          <w:sz w:val="28"/>
        </w:rPr>
        <w:t xml:space="preserve">
      При неполном подтверждении суммы превышения НДС, предъявленного к возврату в соответствии с пунктом 26 настоящих Правил, направляется уведомление о сумме превышения налога на добавленную стоимость, подтвержденной к возврату в упрощенном порядке,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форме, указанной в приложении 3 к настоящим Правилам.</w:t>
      </w:r>
    </w:p>
    <w:bookmarkEnd w:id="20"/>
    <w:bookmarkStart w:name="z29" w:id="21"/>
    <w:p>
      <w:pPr>
        <w:spacing w:after="0"/>
        <w:ind w:left="0"/>
        <w:jc w:val="both"/>
      </w:pPr>
      <w:r>
        <w:rPr>
          <w:rFonts w:ascii="Times New Roman"/>
          <w:b w:val="false"/>
          <w:i w:val="false"/>
          <w:color w:val="000000"/>
          <w:sz w:val="28"/>
        </w:rPr>
        <w:t xml:space="preserve">
      Одновременно услугополучатель уведомляется о праве применения им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на неподтвержденную сумму превышения НДС.</w:t>
      </w:r>
    </w:p>
    <w:bookmarkEnd w:id="21"/>
    <w:bookmarkStart w:name="z30" w:id="22"/>
    <w:p>
      <w:pPr>
        <w:spacing w:after="0"/>
        <w:ind w:left="0"/>
        <w:jc w:val="both"/>
      </w:pPr>
      <w:r>
        <w:rPr>
          <w:rFonts w:ascii="Times New Roman"/>
          <w:b w:val="false"/>
          <w:i w:val="false"/>
          <w:color w:val="000000"/>
          <w:sz w:val="28"/>
        </w:rPr>
        <w:t xml:space="preserve">
      В течение 5 (пяти) рабочих дней после получения уведомления услугополучатель письменно или в электронном виде посредством портала и (или) ИС Комитета уведомляет услугодателя о принятом решении в пределах одного требования о возврате превышения – об отказе или согласии применения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и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22"/>
    <w:bookmarkStart w:name="z31" w:id="23"/>
    <w:p>
      <w:pPr>
        <w:spacing w:after="0"/>
        <w:ind w:left="0"/>
        <w:jc w:val="both"/>
      </w:pPr>
      <w:r>
        <w:rPr>
          <w:rFonts w:ascii="Times New Roman"/>
          <w:b w:val="false"/>
          <w:i w:val="false"/>
          <w:color w:val="000000"/>
          <w:sz w:val="28"/>
        </w:rPr>
        <w:t xml:space="preserve">
      Отсутствие соответствующего ответа от услугополучателя после истечения указанного срока является фактом отказа от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и </w:t>
      </w:r>
      <w:r>
        <w:rPr>
          <w:rFonts w:ascii="Times New Roman"/>
          <w:b w:val="false"/>
          <w:i w:val="false"/>
          <w:color w:val="000000"/>
          <w:sz w:val="28"/>
        </w:rPr>
        <w:t>главой 4</w:t>
      </w:r>
      <w:r>
        <w:rPr>
          <w:rFonts w:ascii="Times New Roman"/>
          <w:b w:val="false"/>
          <w:i w:val="false"/>
          <w:color w:val="000000"/>
          <w:sz w:val="28"/>
        </w:rPr>
        <w:t xml:space="preserve"> настоящих Правил, в налоговом периоде, за который представлено требование о возврате превышения НДС";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"33. При выборе услугополучателем упрощенного возврата НДС, установленного подпунктом 3) части первой пункта 20 настоящих Правил, к услугополучателю, включенному в Перечень экспортеров сырья, осуществляющих конвертацию валютной выручки, положения настоящего параграфа применяются по правоотношениям, возникшим с 1 января 2022 года.";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"46. Риском неисполнения налоговых обязательств признается выявленные расхождения в результате сверки сведений налоговой отчетности поставщика и сведений ИС, а также другие сведения, указывающие на неисполнение налоговых обязательств по исчислению и уплате НДС в бюджет.</w:t>
      </w:r>
    </w:p>
    <w:bookmarkEnd w:id="25"/>
    <w:bookmarkStart w:name="z36" w:id="26"/>
    <w:p>
      <w:pPr>
        <w:spacing w:after="0"/>
        <w:ind w:left="0"/>
        <w:jc w:val="both"/>
      </w:pPr>
      <w:r>
        <w:rPr>
          <w:rFonts w:ascii="Times New Roman"/>
          <w:b w:val="false"/>
          <w:i w:val="false"/>
          <w:color w:val="000000"/>
          <w:sz w:val="28"/>
        </w:rPr>
        <w:t>
      Услугодатель прекращает дальнейшее формирование отчета "Пирамида" по поставщикам по риску неисполнения налоговых обязательств в случаях, если при формировании отчета "Пирамида" установлен поставщик, являющийся налогоплательщиком:</w:t>
      </w:r>
    </w:p>
    <w:bookmarkEnd w:id="26"/>
    <w:bookmarkStart w:name="z37" w:id="27"/>
    <w:p>
      <w:pPr>
        <w:spacing w:after="0"/>
        <w:ind w:left="0"/>
        <w:jc w:val="both"/>
      </w:pPr>
      <w:r>
        <w:rPr>
          <w:rFonts w:ascii="Times New Roman"/>
          <w:b w:val="false"/>
          <w:i w:val="false"/>
          <w:color w:val="000000"/>
          <w:sz w:val="28"/>
        </w:rPr>
        <w:t>
      1) состоящим на горизонтальном мониторинге;</w:t>
      </w:r>
    </w:p>
    <w:bookmarkEnd w:id="27"/>
    <w:bookmarkStart w:name="z38" w:id="28"/>
    <w:p>
      <w:pPr>
        <w:spacing w:after="0"/>
        <w:ind w:left="0"/>
        <w:jc w:val="both"/>
      </w:pPr>
      <w:r>
        <w:rPr>
          <w:rFonts w:ascii="Times New Roman"/>
          <w:b w:val="false"/>
          <w:i w:val="false"/>
          <w:color w:val="000000"/>
          <w:sz w:val="28"/>
        </w:rPr>
        <w:t>
      2) производящим товары собственного производства, в том числе налогоплательщиком-сельхозтоваропроизводителем (за исключением производителей шкур крупного и мелкогорогатого скота и лиц, перерабатывающих лом цветных и черных металлов), включенным в Перечень производителей товаров собственного производства.</w:t>
      </w:r>
    </w:p>
    <w:bookmarkEnd w:id="28"/>
    <w:bookmarkStart w:name="z39" w:id="29"/>
    <w:p>
      <w:pPr>
        <w:spacing w:after="0"/>
        <w:ind w:left="0"/>
        <w:jc w:val="both"/>
      </w:pPr>
      <w:r>
        <w:rPr>
          <w:rFonts w:ascii="Times New Roman"/>
          <w:b w:val="false"/>
          <w:i w:val="false"/>
          <w:color w:val="000000"/>
          <w:sz w:val="28"/>
        </w:rPr>
        <w:t>
      Производителем товаров собственного производства в рамках настоящих Правил является поставщик, признанный производителем в течение всего проверяемого периода услугополучателя;</w:t>
      </w:r>
    </w:p>
    <w:bookmarkEnd w:id="29"/>
    <w:bookmarkStart w:name="z40" w:id="30"/>
    <w:p>
      <w:pPr>
        <w:spacing w:after="0"/>
        <w:ind w:left="0"/>
        <w:jc w:val="both"/>
      </w:pPr>
      <w:r>
        <w:rPr>
          <w:rFonts w:ascii="Times New Roman"/>
          <w:b w:val="false"/>
          <w:i w:val="false"/>
          <w:color w:val="000000"/>
          <w:sz w:val="28"/>
        </w:rPr>
        <w:t>
      3) осуществляющим деятельность в рамках контракта на недропользование, заключенного в соответствии с законодательством Республики Казахстан о недрах и недропользовании, и имеющих средний коэффициент налоговой нагрузки не менее 20 (двадцати) процентов, рассчитанный за последние 5 (пять) лет, предшествующих налоговому периоду, в котором предъявлено требование;</w:t>
      </w:r>
    </w:p>
    <w:bookmarkEnd w:id="30"/>
    <w:bookmarkStart w:name="z41" w:id="31"/>
    <w:p>
      <w:pPr>
        <w:spacing w:after="0"/>
        <w:ind w:left="0"/>
        <w:jc w:val="both"/>
      </w:pPr>
      <w:r>
        <w:rPr>
          <w:rFonts w:ascii="Times New Roman"/>
          <w:b w:val="false"/>
          <w:i w:val="false"/>
          <w:color w:val="000000"/>
          <w:sz w:val="28"/>
        </w:rPr>
        <w:t>
      4) осуществляющим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p>
    <w:bookmarkEnd w:id="31"/>
    <w:bookmarkStart w:name="z42" w:id="32"/>
    <w:p>
      <w:pPr>
        <w:spacing w:after="0"/>
        <w:ind w:left="0"/>
        <w:jc w:val="both"/>
      </w:pPr>
      <w:r>
        <w:rPr>
          <w:rFonts w:ascii="Times New Roman"/>
          <w:b w:val="false"/>
          <w:i w:val="false"/>
          <w:color w:val="000000"/>
          <w:sz w:val="28"/>
        </w:rPr>
        <w:t>
      5) осуществляющим поставку услуг связи;</w:t>
      </w:r>
    </w:p>
    <w:bookmarkEnd w:id="32"/>
    <w:bookmarkStart w:name="z43" w:id="33"/>
    <w:p>
      <w:pPr>
        <w:spacing w:after="0"/>
        <w:ind w:left="0"/>
        <w:jc w:val="both"/>
      </w:pPr>
      <w:r>
        <w:rPr>
          <w:rFonts w:ascii="Times New Roman"/>
          <w:b w:val="false"/>
          <w:i w:val="false"/>
          <w:color w:val="000000"/>
          <w:sz w:val="28"/>
        </w:rPr>
        <w:t>
      6) у которых сумма НДС, отнесенная в зачет, не превышает 10-кратного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(далее – МРП), на дату формирования отчета "Пирамида";</w:t>
      </w:r>
    </w:p>
    <w:bookmarkEnd w:id="33"/>
    <w:bookmarkStart w:name="z44" w:id="34"/>
    <w:p>
      <w:pPr>
        <w:spacing w:after="0"/>
        <w:ind w:left="0"/>
        <w:jc w:val="both"/>
      </w:pPr>
      <w:r>
        <w:rPr>
          <w:rFonts w:ascii="Times New Roman"/>
          <w:b w:val="false"/>
          <w:i w:val="false"/>
          <w:color w:val="000000"/>
          <w:sz w:val="28"/>
        </w:rPr>
        <w:t>
      7) осуществляющим услуги магистральной железнодорожной сети и железнодорожных путей с объектами железнодорожного транспорта.</w:t>
      </w:r>
    </w:p>
    <w:bookmarkEnd w:id="34"/>
    <w:bookmarkStart w:name="z45" w:id="35"/>
    <w:p>
      <w:pPr>
        <w:spacing w:after="0"/>
        <w:ind w:left="0"/>
        <w:jc w:val="both"/>
      </w:pPr>
      <w:r>
        <w:rPr>
          <w:rFonts w:ascii="Times New Roman"/>
          <w:b w:val="false"/>
          <w:i w:val="false"/>
          <w:color w:val="000000"/>
          <w:sz w:val="28"/>
        </w:rPr>
        <w:t>
      Положения настоящего пункта не применяются, если непосредственные поставщики являются взаимосвязанными сторонами и (или) лицами, находящимися под контролем по отношению к услугополучателю, в отношении которого проводится тематическая проверка.";</w:t>
      </w:r>
    </w:p>
    <w:bookmarkEnd w:id="35"/>
    <w:bookmarkStart w:name="z46"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52</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"1) занижение суммы НДС по реализованным товарам, работам, услугам, выявленное при сопоставлении между сведениями, отраженными в налоговой отчетности по НДС у поставщика и (или) сведениями ИС электронных счетов фактур (далее – ЭСФ) по выписанным счетам фактурам поставщика;";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пункта в следующей редакции:</w:t>
      </w:r>
    </w:p>
    <w:bookmarkStart w:name="z50" w:id="38"/>
    <w:p>
      <w:pPr>
        <w:spacing w:after="0"/>
        <w:ind w:left="0"/>
        <w:jc w:val="both"/>
      </w:pPr>
      <w:r>
        <w:rPr>
          <w:rFonts w:ascii="Times New Roman"/>
          <w:b w:val="false"/>
          <w:i w:val="false"/>
          <w:color w:val="000000"/>
          <w:sz w:val="28"/>
        </w:rPr>
        <w:t xml:space="preserve">
      "5) отнесение в зачет сумм НДС по взаиморасчетам с поставщиком, в отношении руководителя (учредителя) которого имеется факт регистрации в Едином реестре досудебного расследования уголовного дела по правонарушениям, указанным в </w:t>
      </w:r>
      <w:r>
        <w:rPr>
          <w:rFonts w:ascii="Times New Roman"/>
          <w:b w:val="false"/>
          <w:i w:val="false"/>
          <w:color w:val="000000"/>
          <w:sz w:val="28"/>
        </w:rPr>
        <w:t>статьях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за исключением прекращенных по реабилитирующим основаниям и по не реабилитирующим основаниям по </w:t>
      </w:r>
      <w:r>
        <w:rPr>
          <w:rFonts w:ascii="Times New Roman"/>
          <w:b w:val="false"/>
          <w:i w:val="false"/>
          <w:color w:val="000000"/>
          <w:sz w:val="28"/>
        </w:rPr>
        <w:t>статье 245</w:t>
      </w:r>
      <w:r>
        <w:rPr>
          <w:rFonts w:ascii="Times New Roman"/>
          <w:b w:val="false"/>
          <w:i w:val="false"/>
          <w:color w:val="000000"/>
          <w:sz w:val="28"/>
        </w:rPr>
        <w:t xml:space="preserve"> Уголовного кодекса;";</w:t>
      </w:r>
    </w:p>
    <w:bookmarkEnd w:id="38"/>
    <w:bookmarkStart w:name="z51" w:id="39"/>
    <w:p>
      <w:pPr>
        <w:spacing w:after="0"/>
        <w:ind w:left="0"/>
        <w:jc w:val="both"/>
      </w:pPr>
      <w:r>
        <w:rPr>
          <w:rFonts w:ascii="Times New Roman"/>
          <w:b w:val="false"/>
          <w:i w:val="false"/>
          <w:color w:val="000000"/>
          <w:sz w:val="28"/>
        </w:rPr>
        <w:t>
      дополнить пунктом 52-1 следующего содержания:</w:t>
      </w:r>
    </w:p>
    <w:bookmarkEnd w:id="39"/>
    <w:bookmarkStart w:name="z52" w:id="40"/>
    <w:p>
      <w:pPr>
        <w:spacing w:after="0"/>
        <w:ind w:left="0"/>
        <w:jc w:val="both"/>
      </w:pPr>
      <w:r>
        <w:rPr>
          <w:rFonts w:ascii="Times New Roman"/>
          <w:b w:val="false"/>
          <w:i w:val="false"/>
          <w:color w:val="000000"/>
          <w:sz w:val="28"/>
        </w:rPr>
        <w:t>
      "52-1. Подтверждение достоверности суммы превышения НДС производится без учета нарушений налогового законодательства, выявленных по результатам отчета "Пирамида", у поставщиков товаров, работ, услуг, по следующим факторам:</w:t>
      </w:r>
    </w:p>
    <w:bookmarkEnd w:id="40"/>
    <w:bookmarkStart w:name="z53" w:id="41"/>
    <w:p>
      <w:pPr>
        <w:spacing w:after="0"/>
        <w:ind w:left="0"/>
        <w:jc w:val="both"/>
      </w:pPr>
      <w:r>
        <w:rPr>
          <w:rFonts w:ascii="Times New Roman"/>
          <w:b w:val="false"/>
          <w:i w:val="false"/>
          <w:color w:val="000000"/>
          <w:sz w:val="28"/>
        </w:rPr>
        <w:t>
      1) занижение суммы НДС по реализованным товарам, работам, услугам, выявленное при сопоставлении между сведениями, отраженными в налоговой отчетности по НДС у поставщика, и (или) сведениями ИС ЭСФ по выписанным счетам-фактурам поставщика не превышает 10-кратного размера МРП, на дату формирования отчета "Пирамида";</w:t>
      </w:r>
    </w:p>
    <w:bookmarkEnd w:id="41"/>
    <w:bookmarkStart w:name="z54" w:id="42"/>
    <w:p>
      <w:pPr>
        <w:spacing w:after="0"/>
        <w:ind w:left="0"/>
        <w:jc w:val="both"/>
      </w:pPr>
      <w:r>
        <w:rPr>
          <w:rFonts w:ascii="Times New Roman"/>
          <w:b w:val="false"/>
          <w:i w:val="false"/>
          <w:color w:val="000000"/>
          <w:sz w:val="28"/>
        </w:rPr>
        <w:t>
      2) расхождения между сведениями, отраженными в налоговой отчетности по НДС у поставщика и (или) сведений, указанных в реестре счетов-фактур по реализованным товарам, работам, услугам, и сведениями в реестре счетов-фактур покупателя по приобретенным им товарам, работам, услугам не превышает 10-кратного МРП, на дату формирования отчета "Пирамида";</w:t>
      </w:r>
    </w:p>
    <w:bookmarkEnd w:id="42"/>
    <w:bookmarkStart w:name="z55" w:id="43"/>
    <w:p>
      <w:pPr>
        <w:spacing w:after="0"/>
        <w:ind w:left="0"/>
        <w:jc w:val="both"/>
      </w:pPr>
      <w:r>
        <w:rPr>
          <w:rFonts w:ascii="Times New Roman"/>
          <w:b w:val="false"/>
          <w:i w:val="false"/>
          <w:color w:val="000000"/>
          <w:sz w:val="28"/>
        </w:rPr>
        <w:t xml:space="preserve">
      3) изменения сроков исполнения налогового обязательства по уплате НДС в форме отсрочки, рассрочки по уплате НДС, исчисленных налогоплательщиком согласно представленной налоговой отчетности до завершения налоговой проверки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w:t>
      </w:r>
    </w:p>
    <w:bookmarkEnd w:id="43"/>
    <w:bookmarkStart w:name="z56" w:id="44"/>
    <w:p>
      <w:pPr>
        <w:spacing w:after="0"/>
        <w:ind w:left="0"/>
        <w:jc w:val="both"/>
      </w:pPr>
      <w:r>
        <w:rPr>
          <w:rFonts w:ascii="Times New Roman"/>
          <w:b w:val="false"/>
          <w:i w:val="false"/>
          <w:color w:val="000000"/>
          <w:sz w:val="28"/>
        </w:rPr>
        <w:t>
      4) нарушения с низкой степенью риска, по которым направляются извещения о нарушениях, выявленных по результатам камерального контроля, с приложением описания выявленных нарушений;</w:t>
      </w:r>
    </w:p>
    <w:bookmarkEnd w:id="44"/>
    <w:bookmarkStart w:name="z57" w:id="45"/>
    <w:p>
      <w:pPr>
        <w:spacing w:after="0"/>
        <w:ind w:left="0"/>
        <w:jc w:val="both"/>
      </w:pPr>
      <w:r>
        <w:rPr>
          <w:rFonts w:ascii="Times New Roman"/>
          <w:b w:val="false"/>
          <w:i w:val="false"/>
          <w:color w:val="000000"/>
          <w:sz w:val="28"/>
        </w:rPr>
        <w:t>
      5) неподтвержденные нарушения налогового законодательства согласно ответу, на запрос о принятии мер на устранение нарушений у экспедитора и комиссионера;</w:t>
      </w:r>
    </w:p>
    <w:bookmarkEnd w:id="45"/>
    <w:bookmarkStart w:name="z58" w:id="46"/>
    <w:p>
      <w:pPr>
        <w:spacing w:after="0"/>
        <w:ind w:left="0"/>
        <w:jc w:val="both"/>
      </w:pPr>
      <w:r>
        <w:rPr>
          <w:rFonts w:ascii="Times New Roman"/>
          <w:b w:val="false"/>
          <w:i w:val="false"/>
          <w:color w:val="000000"/>
          <w:sz w:val="28"/>
        </w:rPr>
        <w:t>
      6) устранения поставщиками в цепочке поставки товаров, работ, услуг нарушений, предусмотренных пунктом 47 настоящих Правил.";</w:t>
      </w:r>
    </w:p>
    <w:bookmarkEnd w:id="46"/>
    <w:bookmarkStart w:name="z59" w:id="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54</w:t>
      </w:r>
      <w:r>
        <w:rPr>
          <w:rFonts w:ascii="Times New Roman"/>
          <w:b w:val="false"/>
          <w:i w:val="false"/>
          <w:color w:val="000000"/>
          <w:sz w:val="28"/>
        </w:rPr>
        <w:t xml:space="preserve"> изложить в следующей редакции:</w:t>
      </w:r>
    </w:p>
    <w:bookmarkEnd w:id="47"/>
    <w:bookmarkStart w:name="z60" w:id="48"/>
    <w:p>
      <w:pPr>
        <w:spacing w:after="0"/>
        <w:ind w:left="0"/>
        <w:jc w:val="both"/>
      </w:pPr>
      <w:r>
        <w:rPr>
          <w:rFonts w:ascii="Times New Roman"/>
          <w:b w:val="false"/>
          <w:i w:val="false"/>
          <w:color w:val="000000"/>
          <w:sz w:val="28"/>
        </w:rPr>
        <w:t>
      "54. Положения пункта 52 настоящих Правил не применяются при устранении нарушений, выявленных по результатам отчета "Пирамида" непосредственными поставщиками проверяемого услугополучателя:</w:t>
      </w:r>
    </w:p>
    <w:bookmarkEnd w:id="48"/>
    <w:bookmarkStart w:name="z61" w:id="49"/>
    <w:p>
      <w:pPr>
        <w:spacing w:after="0"/>
        <w:ind w:left="0"/>
        <w:jc w:val="both"/>
      </w:pPr>
      <w:r>
        <w:rPr>
          <w:rFonts w:ascii="Times New Roman"/>
          <w:b w:val="false"/>
          <w:i w:val="false"/>
          <w:color w:val="000000"/>
          <w:sz w:val="28"/>
        </w:rPr>
        <w:t>
      имеющих право на применение упрощенного порядка (независимо от использования данного права);</w:t>
      </w:r>
    </w:p>
    <w:bookmarkEnd w:id="49"/>
    <w:bookmarkStart w:name="z62" w:id="50"/>
    <w:p>
      <w:pPr>
        <w:spacing w:after="0"/>
        <w:ind w:left="0"/>
        <w:jc w:val="both"/>
      </w:pPr>
      <w:r>
        <w:rPr>
          <w:rFonts w:ascii="Times New Roman"/>
          <w:b w:val="false"/>
          <w:i w:val="false"/>
          <w:color w:val="000000"/>
          <w:sz w:val="28"/>
        </w:rPr>
        <w:t xml:space="preserve">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 МРП,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12 статьи 152 Налогового кодекса;</w:t>
      </w:r>
    </w:p>
    <w:bookmarkEnd w:id="50"/>
    <w:bookmarkStart w:name="z63" w:id="51"/>
    <w:p>
      <w:pPr>
        <w:spacing w:after="0"/>
        <w:ind w:left="0"/>
        <w:jc w:val="both"/>
      </w:pPr>
      <w:r>
        <w:rPr>
          <w:rFonts w:ascii="Times New Roman"/>
          <w:b w:val="false"/>
          <w:i w:val="false"/>
          <w:color w:val="000000"/>
          <w:sz w:val="28"/>
        </w:rPr>
        <w:t>
      осуществляющих деятельность в рамках контракта на недропользование, заключенного в соответствии с законодательством Республики Казахстан о недрах и недропользовании, и имеющим средний коэффициент налоговой нагрузки не менее 20 (двадцати) процентов, рассчитанный за последние 5 (пять) лет, предшествующих налоговому периоду, в котором предъявлено требование о возврате превышения НДС;</w:t>
      </w:r>
    </w:p>
    <w:bookmarkEnd w:id="51"/>
    <w:bookmarkStart w:name="z64" w:id="52"/>
    <w:p>
      <w:pPr>
        <w:spacing w:after="0"/>
        <w:ind w:left="0"/>
        <w:jc w:val="both"/>
      </w:pPr>
      <w:r>
        <w:rPr>
          <w:rFonts w:ascii="Times New Roman"/>
          <w:b w:val="false"/>
          <w:i w:val="false"/>
          <w:color w:val="000000"/>
          <w:sz w:val="28"/>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Налогового кодекса.";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66" w:id="53"/>
    <w:p>
      <w:pPr>
        <w:spacing w:after="0"/>
        <w:ind w:left="0"/>
        <w:jc w:val="both"/>
      </w:pPr>
      <w:r>
        <w:rPr>
          <w:rFonts w:ascii="Times New Roman"/>
          <w:b w:val="false"/>
          <w:i w:val="false"/>
          <w:color w:val="000000"/>
          <w:sz w:val="28"/>
        </w:rPr>
        <w:t>
      "57. В целях исключения риска, указанного в пункте 47 настоящих Правил, услугодатель формирует отчет "Пирамида" по поставщикам, за период, указанный в требовании.</w:t>
      </w:r>
    </w:p>
    <w:bookmarkEnd w:id="53"/>
    <w:bookmarkStart w:name="z67" w:id="54"/>
    <w:p>
      <w:pPr>
        <w:spacing w:after="0"/>
        <w:ind w:left="0"/>
        <w:jc w:val="both"/>
      </w:pPr>
      <w:r>
        <w:rPr>
          <w:rFonts w:ascii="Times New Roman"/>
          <w:b w:val="false"/>
          <w:i w:val="false"/>
          <w:color w:val="000000"/>
          <w:sz w:val="28"/>
        </w:rPr>
        <w:t>
      При выявлении нарушений, указанных в пункте 47 настоящих Правил, по результатам отчета "Пирамида" у поставщиков, сумма превышения НДС, подлежащая возврату, определяется за вычетом суммы нарушений, приходящиеся на поставщиков товаров, работ, услуг у которых установлены нарушения налогового законодательства, из суммы превышения НДС, сложившегося за отчетный период.</w:t>
      </w:r>
    </w:p>
    <w:bookmarkEnd w:id="54"/>
    <w:bookmarkStart w:name="z68" w:id="55"/>
    <w:p>
      <w:pPr>
        <w:spacing w:after="0"/>
        <w:ind w:left="0"/>
        <w:jc w:val="both"/>
      </w:pPr>
      <w:r>
        <w:rPr>
          <w:rFonts w:ascii="Times New Roman"/>
          <w:b w:val="false"/>
          <w:i w:val="false"/>
          <w:color w:val="000000"/>
          <w:sz w:val="28"/>
        </w:rPr>
        <w:t>
      58. Услугодатель определяет сумму превышения НДС, подлежащую возврату, по удельному весу конвертированной валюты за налоговый период, указанный в требовании о возврате суммы превышения НДС.</w:t>
      </w:r>
    </w:p>
    <w:bookmarkEnd w:id="55"/>
    <w:bookmarkStart w:name="z69" w:id="56"/>
    <w:p>
      <w:pPr>
        <w:spacing w:after="0"/>
        <w:ind w:left="0"/>
        <w:jc w:val="both"/>
      </w:pPr>
      <w:r>
        <w:rPr>
          <w:rFonts w:ascii="Times New Roman"/>
          <w:b w:val="false"/>
          <w:i w:val="false"/>
          <w:color w:val="000000"/>
          <w:sz w:val="28"/>
        </w:rPr>
        <w:t>
      Удельный вес конвертации валютной выручки услугодатель учитывает исходя из сведений заключения о конвертации валютной выручки, представленного Национальным Банком и БВУ в порядке и форме, утвержденными приказом Министра финансов Республики Казахстан "Об утверждении Правил и формы представления Национальным Банком Республики Казахстан и банками второго уровня заключения в органы государственных доходов о конвертации валютной выручки".</w:t>
      </w:r>
    </w:p>
    <w:bookmarkEnd w:id="56"/>
    <w:bookmarkStart w:name="z70" w:id="57"/>
    <w:p>
      <w:pPr>
        <w:spacing w:after="0"/>
        <w:ind w:left="0"/>
        <w:jc w:val="both"/>
      </w:pPr>
      <w:r>
        <w:rPr>
          <w:rFonts w:ascii="Times New Roman"/>
          <w:b w:val="false"/>
          <w:i w:val="false"/>
          <w:color w:val="000000"/>
          <w:sz w:val="28"/>
        </w:rPr>
        <w:t>
      Положения настоящего пункта применяются только в отношении услугополучателей, которые выбрали применение упрощенного порядка возврата превышения НДС в соответствии с подпунктом 3) части первой пункта 20 настоящих Правил и включенных в Перечень экспортеров сырья, осуществляющих конвертацию валютной выручки.</w:t>
      </w:r>
    </w:p>
    <w:bookmarkEnd w:id="57"/>
    <w:bookmarkStart w:name="z71" w:id="58"/>
    <w:p>
      <w:pPr>
        <w:spacing w:after="0"/>
        <w:ind w:left="0"/>
        <w:jc w:val="both"/>
      </w:pPr>
      <w:r>
        <w:rPr>
          <w:rFonts w:ascii="Times New Roman"/>
          <w:b w:val="false"/>
          <w:i w:val="false"/>
          <w:color w:val="000000"/>
          <w:sz w:val="28"/>
        </w:rPr>
        <w:t>
      Возврат превышения НДС по таким услугополучателям рассчитывается по удельному весу конвертированной валюты в общей сумме поступлений валютной выручки за налоговый период:</w:t>
      </w:r>
    </w:p>
    <w:bookmarkEnd w:id="58"/>
    <w:bookmarkStart w:name="z72" w:id="59"/>
    <w:p>
      <w:pPr>
        <w:spacing w:after="0"/>
        <w:ind w:left="0"/>
        <w:jc w:val="both"/>
      </w:pPr>
      <w:r>
        <w:rPr>
          <w:rFonts w:ascii="Times New Roman"/>
          <w:b w:val="false"/>
          <w:i w:val="false"/>
          <w:color w:val="000000"/>
          <w:sz w:val="28"/>
        </w:rPr>
        <w:t>
      1) если удельный вес конвертации составляет 80 (восемьдесят) и более процентов, то возврату подлежит сумма превышения НДС в размере 80 (восьмидесяти) процентов от суммы превышения НДС;</w:t>
      </w:r>
    </w:p>
    <w:bookmarkEnd w:id="59"/>
    <w:bookmarkStart w:name="z73" w:id="60"/>
    <w:p>
      <w:pPr>
        <w:spacing w:after="0"/>
        <w:ind w:left="0"/>
        <w:jc w:val="both"/>
      </w:pPr>
      <w:r>
        <w:rPr>
          <w:rFonts w:ascii="Times New Roman"/>
          <w:b w:val="false"/>
          <w:i w:val="false"/>
          <w:color w:val="000000"/>
          <w:sz w:val="28"/>
        </w:rPr>
        <w:t>
      2) если удельный вес конвертации составляет менее 80 (восьмидесяти) процентов, то возврату подлежит сумма превышения НДС в размере соответствующего удельного веса от суммы превышения НДС.</w:t>
      </w:r>
    </w:p>
    <w:bookmarkEnd w:id="60"/>
    <w:bookmarkStart w:name="z74" w:id="61"/>
    <w:p>
      <w:pPr>
        <w:spacing w:after="0"/>
        <w:ind w:left="0"/>
        <w:jc w:val="both"/>
      </w:pPr>
      <w:r>
        <w:rPr>
          <w:rFonts w:ascii="Times New Roman"/>
          <w:b w:val="false"/>
          <w:i w:val="false"/>
          <w:color w:val="000000"/>
          <w:sz w:val="28"/>
        </w:rPr>
        <w:t>
      При этом, возврату в упрощенном порядке подлежит превышение НДС для экспортеров сырья при конвертации не менее 50 процентов валютной выручки, поступившей за налоговый период.</w:t>
      </w:r>
    </w:p>
    <w:bookmarkEnd w:id="61"/>
    <w:bookmarkStart w:name="z75" w:id="62"/>
    <w:p>
      <w:pPr>
        <w:spacing w:after="0"/>
        <w:ind w:left="0"/>
        <w:jc w:val="both"/>
      </w:pPr>
      <w:r>
        <w:rPr>
          <w:rFonts w:ascii="Times New Roman"/>
          <w:b w:val="false"/>
          <w:i w:val="false"/>
          <w:color w:val="000000"/>
          <w:sz w:val="28"/>
        </w:rPr>
        <w:t xml:space="preserve">
      Если услугополучатель не соответствует условиям настоящего пункта, возврат превышения НДС производится по иным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w:t>
      </w:r>
    </w:p>
    <w:bookmarkEnd w:id="62"/>
    <w:bookmarkStart w:name="z76"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60</w:t>
      </w:r>
      <w:r>
        <w:rPr>
          <w:rFonts w:ascii="Times New Roman"/>
          <w:b w:val="false"/>
          <w:i w:val="false"/>
          <w:color w:val="000000"/>
          <w:sz w:val="28"/>
        </w:rPr>
        <w:t>:</w:t>
      </w:r>
    </w:p>
    <w:bookmarkEnd w:id="63"/>
    <w:bookmarkStart w:name="z77" w:id="64"/>
    <w:p>
      <w:pPr>
        <w:spacing w:after="0"/>
        <w:ind w:left="0"/>
        <w:jc w:val="both"/>
      </w:pPr>
      <w:r>
        <w:rPr>
          <w:rFonts w:ascii="Times New Roman"/>
          <w:b w:val="false"/>
          <w:i w:val="false"/>
          <w:color w:val="000000"/>
          <w:sz w:val="28"/>
        </w:rPr>
        <w:t>
      части вторую и третью изложить в следующей редакции:</w:t>
      </w:r>
    </w:p>
    <w:bookmarkEnd w:id="64"/>
    <w:bookmarkStart w:name="z78" w:id="65"/>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автоматизировано. При этом, при представлении в электронном виде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bookmarkEnd w:id="65"/>
    <w:bookmarkStart w:name="z79" w:id="66"/>
    <w:p>
      <w:pPr>
        <w:spacing w:after="0"/>
        <w:ind w:left="0"/>
        <w:jc w:val="both"/>
      </w:pPr>
      <w:r>
        <w:rPr>
          <w:rFonts w:ascii="Times New Roman"/>
          <w:b w:val="false"/>
          <w:i w:val="false"/>
          <w:color w:val="000000"/>
          <w:sz w:val="28"/>
        </w:rPr>
        <w:t>
      При представлении услугополучателем на бумажном носителе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6</w:t>
      </w:r>
      <w:r>
        <w:rPr>
          <w:rFonts w:ascii="Times New Roman"/>
          <w:b w:val="false"/>
          <w:i w:val="false"/>
          <w:color w:val="000000"/>
          <w:sz w:val="28"/>
        </w:rPr>
        <w:t xml:space="preserve"> главы 4 изложить в следующей редакции:</w:t>
      </w:r>
    </w:p>
    <w:bookmarkStart w:name="z81" w:id="67"/>
    <w:p>
      <w:pPr>
        <w:spacing w:after="0"/>
        <w:ind w:left="0"/>
        <w:jc w:val="both"/>
      </w:pPr>
      <w:r>
        <w:rPr>
          <w:rFonts w:ascii="Times New Roman"/>
          <w:b w:val="false"/>
          <w:i w:val="false"/>
          <w:color w:val="000000"/>
          <w:sz w:val="28"/>
        </w:rPr>
        <w:t>
      "Параграф 6. Особенности проведения проверок по подтверждению достоверности сумм возврата превышения налога на добавленную стоимость по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83" w:id="68"/>
    <w:p>
      <w:pPr>
        <w:spacing w:after="0"/>
        <w:ind w:left="0"/>
        <w:jc w:val="both"/>
      </w:pPr>
      <w:r>
        <w:rPr>
          <w:rFonts w:ascii="Times New Roman"/>
          <w:b w:val="false"/>
          <w:i w:val="false"/>
          <w:color w:val="000000"/>
          <w:sz w:val="28"/>
        </w:rPr>
        <w:t>
      "96. Возврат превышения НДС, аэропортам, поставщикам услуг наземного обслуживания, реализующим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 производится в части горюче-смазочных материалов, которые использовались при заправке воздушных судов иностранных авиакомпаний, выполняющих международные полеты, международные воздушные перевозки.";</w:t>
      </w:r>
    </w:p>
    <w:bookmarkEnd w:id="68"/>
    <w:bookmarkStart w:name="z84" w:id="6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105</w:t>
      </w:r>
      <w:r>
        <w:rPr>
          <w:rFonts w:ascii="Times New Roman"/>
          <w:b w:val="false"/>
          <w:i w:val="false"/>
          <w:color w:val="000000"/>
          <w:sz w:val="28"/>
        </w:rPr>
        <w:t xml:space="preserve"> изложить в следующей редакции:</w:t>
      </w:r>
    </w:p>
    <w:bookmarkEnd w:id="69"/>
    <w:bookmarkStart w:name="z85" w:id="70"/>
    <w:p>
      <w:pPr>
        <w:spacing w:after="0"/>
        <w:ind w:left="0"/>
        <w:jc w:val="both"/>
      </w:pPr>
      <w:r>
        <w:rPr>
          <w:rFonts w:ascii="Times New Roman"/>
          <w:b w:val="false"/>
          <w:i w:val="false"/>
          <w:color w:val="000000"/>
          <w:sz w:val="28"/>
        </w:rPr>
        <w:t>
      "105. Оборот, облагаемый по нулевой ставке, в целях данного параграфа является оборот по реализации товаров собственного производства налогоплательщикам, осуществляющим деятельность в рамках контракта на недропользование, соглашения (контракта) о разделе продукции по тем видам товаров, которые в рамках данных контрактов освобождаются от НДС при импорте.";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7" w:id="7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71"/>
    <w:bookmarkStart w:name="z88" w:id="7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2"/>
    <w:bookmarkStart w:name="z89" w:id="7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3"/>
    <w:bookmarkStart w:name="z90" w:id="7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4"/>
    <w:bookmarkStart w:name="z91" w:id="7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Заместителя Премьер-Министра</w:t>
            </w:r>
          </w:p>
          <w:p>
            <w:pPr>
              <w:spacing w:after="20"/>
              <w:ind w:left="20"/>
              <w:jc w:val="both"/>
            </w:pPr>
          </w:p>
          <w:p>
            <w:pPr>
              <w:spacing w:after="20"/>
              <w:ind w:left="20"/>
              <w:jc w:val="both"/>
            </w:pPr>
            <w:r>
              <w:rPr>
                <w:rFonts w:ascii="Times New Roman"/>
                <w:b w:val="false"/>
                <w:i/>
                <w:color w:val="000000"/>
                <w:sz w:val="20"/>
              </w:rPr>
              <w:t>- и.о. Министра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93" w:id="76"/>
      <w:r>
        <w:rPr>
          <w:rFonts w:ascii="Times New Roman"/>
          <w:b w:val="false"/>
          <w:i w:val="false"/>
          <w:color w:val="000000"/>
          <w:sz w:val="28"/>
        </w:rPr>
        <w:t>
      "СОГЛАСОВАН"</w:t>
      </w:r>
    </w:p>
    <w:bookmarkEnd w:id="7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2023 года № 289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96" w:id="7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"Возврат налога на добавленную стоимость из бюджета"</w:t>
      </w:r>
      <w:r>
        <w:br/>
      </w:r>
      <w:r>
        <w:rPr>
          <w:rFonts w:ascii="Times New Roman"/>
          <w:b/>
          <w:i w:val="false"/>
          <w:color w:val="000000"/>
        </w:rPr>
        <w:t>(далее – государственная услуга)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свободных (специальных, особых) экономических зон (далее –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оказания государственной услуги осуществляются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СЭЗ (далее – услугодатель) посредством веб-портала "электронного правительства" (далее – портал) и (или) информационных систем услугодателя (далее – 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возврату превышения налога на добавленную стоимость (далее – НДС):</w:t>
            </w:r>
          </w:p>
          <w:p>
            <w:pPr>
              <w:spacing w:after="20"/>
              <w:ind w:left="20"/>
              <w:jc w:val="both"/>
            </w:pPr>
            <w:r>
              <w:rPr>
                <w:rFonts w:ascii="Times New Roman"/>
                <w:b w:val="false"/>
                <w:i w:val="false"/>
                <w:color w:val="000000"/>
                <w:sz w:val="20"/>
              </w:rPr>
              <w:t>1) услугополучателям, осуществляющим обороты по реализации, облагаемые по нулевой ставке, которые составляют не менее 70 процентов в общем облагаемом обороте по реализации за налоговый период, за который предъявлено требование о возврате суммы превышения НДС, – в течение 55 (пятидесяти пяти) рабочих дней;</w:t>
            </w:r>
          </w:p>
          <w:p>
            <w:pPr>
              <w:spacing w:after="20"/>
              <w:ind w:left="20"/>
              <w:jc w:val="both"/>
            </w:pPr>
            <w:r>
              <w:rPr>
                <w:rFonts w:ascii="Times New Roman"/>
                <w:b w:val="false"/>
                <w:i w:val="false"/>
                <w:color w:val="000000"/>
                <w:sz w:val="20"/>
              </w:rPr>
              <w:t>2) в остальных случаях – в течение 75 (семидесяти пяти) рабочих дней.</w:t>
            </w:r>
          </w:p>
          <w:p>
            <w:pPr>
              <w:spacing w:after="20"/>
              <w:ind w:left="20"/>
              <w:jc w:val="both"/>
            </w:pPr>
            <w:r>
              <w:rPr>
                <w:rFonts w:ascii="Times New Roman"/>
                <w:b w:val="false"/>
                <w:i w:val="false"/>
                <w:color w:val="000000"/>
                <w:sz w:val="20"/>
              </w:rPr>
              <w:t xml:space="preserve">При этом течение срока возврата суммы превышения НДС начинается после истечения 30 (тридцати) календарных дней со срока, установленного для представления декларации по НДС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424 Кодекса Республики Казахстан "О налогах и других обязательных платежах в бюджет" (Налоговый кодекс) (далее – Налоговый кодекс).</w:t>
            </w:r>
          </w:p>
          <w:p>
            <w:pPr>
              <w:spacing w:after="20"/>
              <w:ind w:left="20"/>
              <w:jc w:val="both"/>
            </w:pPr>
            <w:r>
              <w:rPr>
                <w:rFonts w:ascii="Times New Roman"/>
                <w:b w:val="false"/>
                <w:i w:val="false"/>
                <w:color w:val="000000"/>
                <w:sz w:val="20"/>
              </w:rPr>
              <w:t xml:space="preserve">3) в упрощенном порядке услугополучателям-плательщикам НДС, которые соответствуют требованиям, предусмотренным </w:t>
            </w:r>
            <w:r>
              <w:rPr>
                <w:rFonts w:ascii="Times New Roman"/>
                <w:b w:val="false"/>
                <w:i w:val="false"/>
                <w:color w:val="000000"/>
                <w:sz w:val="20"/>
              </w:rPr>
              <w:t>пунктом 2</w:t>
            </w:r>
            <w:r>
              <w:rPr>
                <w:rFonts w:ascii="Times New Roman"/>
                <w:b w:val="false"/>
                <w:i w:val="false"/>
                <w:color w:val="000000"/>
                <w:sz w:val="20"/>
              </w:rPr>
              <w:t xml:space="preserve"> статьи 434 Налогового кодекса –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 о возврате суммы превышения НДС.</w:t>
            </w:r>
          </w:p>
          <w:p>
            <w:pPr>
              <w:spacing w:after="20"/>
              <w:ind w:left="20"/>
              <w:jc w:val="both"/>
            </w:pPr>
            <w:r>
              <w:rPr>
                <w:rFonts w:ascii="Times New Roman"/>
                <w:b w:val="false"/>
                <w:i w:val="false"/>
                <w:color w:val="000000"/>
                <w:sz w:val="20"/>
              </w:rPr>
              <w:t xml:space="preserve">При продлении срока представления налоговой отчетности по НДС в соответствии с </w:t>
            </w:r>
            <w:r>
              <w:rPr>
                <w:rFonts w:ascii="Times New Roman"/>
                <w:b w:val="false"/>
                <w:i w:val="false"/>
                <w:color w:val="000000"/>
                <w:sz w:val="20"/>
              </w:rPr>
              <w:t>подпунктами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пункта 3 статьи 212 Налогового кодекса, возврат превышения суммы НДС производится с учетом периода продления;</w:t>
            </w:r>
          </w:p>
          <w:p>
            <w:pPr>
              <w:spacing w:after="20"/>
              <w:ind w:left="20"/>
              <w:jc w:val="both"/>
            </w:pPr>
            <w:r>
              <w:rPr>
                <w:rFonts w:ascii="Times New Roman"/>
                <w:b w:val="false"/>
                <w:i w:val="false"/>
                <w:color w:val="000000"/>
                <w:sz w:val="20"/>
              </w:rPr>
              <w:t>4) услугополучателям, у которых превышение НДС сложилось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а также по товарам, работам, услугам, приобретенным в период проведения геологоразведочных работ и обустройства месторождения после начала экспорта полезных ископаемых – в течение 20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НДС.</w:t>
            </w:r>
          </w:p>
          <w:p>
            <w:pPr>
              <w:spacing w:after="20"/>
              <w:ind w:left="20"/>
              <w:jc w:val="both"/>
            </w:pPr>
            <w:r>
              <w:rPr>
                <w:rFonts w:ascii="Times New Roman"/>
                <w:b w:val="false"/>
                <w:i w:val="false"/>
                <w:color w:val="000000"/>
                <w:sz w:val="20"/>
              </w:rPr>
              <w:t>При этом, заключение к акту тематической проверки составляется не позднее двадцать пятого числа последнего месяца квартала.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 xml:space="preserve">при возврате превышения сумм НДС, предусмотренного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1) зачет превышения суммы НДС, в счет погашения имеющейся налоговой задолженности по:</w:t>
            </w:r>
          </w:p>
          <w:p>
            <w:pPr>
              <w:spacing w:after="20"/>
              <w:ind w:left="20"/>
              <w:jc w:val="both"/>
            </w:pPr>
            <w:r>
              <w:rPr>
                <w:rFonts w:ascii="Times New Roman"/>
                <w:b w:val="false"/>
                <w:i w:val="false"/>
                <w:color w:val="000000"/>
                <w:sz w:val="20"/>
              </w:rPr>
              <w:t>
НДС, в том числе в счет НДС, подлежащего уплате при получении работ, услуг от нерезидента, не являющегося плательщиком НДС в Республике Казахстан, в счет НДС на импортируемые товары;</w:t>
            </w:r>
          </w:p>
          <w:p>
            <w:pPr>
              <w:spacing w:after="20"/>
              <w:ind w:left="20"/>
              <w:jc w:val="both"/>
            </w:pPr>
            <w:r>
              <w:rPr>
                <w:rFonts w:ascii="Times New Roman"/>
                <w:b w:val="false"/>
                <w:i w:val="false"/>
                <w:color w:val="000000"/>
                <w:sz w:val="20"/>
              </w:rPr>
              <w:t>иным видам налогов и (или) платежей в бюджет налогоплательщика;</w:t>
            </w:r>
          </w:p>
          <w:p>
            <w:pPr>
              <w:spacing w:after="20"/>
              <w:ind w:left="20"/>
              <w:jc w:val="both"/>
            </w:pPr>
            <w:r>
              <w:rPr>
                <w:rFonts w:ascii="Times New Roman"/>
                <w:b w:val="false"/>
                <w:i w:val="false"/>
                <w:color w:val="000000"/>
                <w:sz w:val="20"/>
              </w:rPr>
              <w:t>иным видам налогов и (или) платежей в бюджет структурных подразделений юридического лица, при отсутствии у налогоплательщика налоговой задолженности по НДС, иным видам налогов и платежей;</w:t>
            </w:r>
          </w:p>
          <w:p>
            <w:pPr>
              <w:spacing w:after="20"/>
              <w:ind w:left="20"/>
              <w:jc w:val="both"/>
            </w:pPr>
            <w:r>
              <w:rPr>
                <w:rFonts w:ascii="Times New Roman"/>
                <w:b w:val="false"/>
                <w:i w:val="false"/>
                <w:color w:val="000000"/>
                <w:sz w:val="20"/>
              </w:rPr>
              <w:t>2) зачет суммы превышения НДС в счет предстоящих платежей по иным видам налогов и платежей (по требованию), при отсутствии налоговой задолженности;</w:t>
            </w:r>
          </w:p>
          <w:p>
            <w:pPr>
              <w:spacing w:after="20"/>
              <w:ind w:left="20"/>
              <w:jc w:val="both"/>
            </w:pPr>
            <w:r>
              <w:rPr>
                <w:rFonts w:ascii="Times New Roman"/>
                <w:b w:val="false"/>
                <w:i w:val="false"/>
                <w:color w:val="000000"/>
                <w:sz w:val="20"/>
              </w:rPr>
              <w:t>3) возврат оставшейся суммы превышения НДС на банковский счет налогоплательщика при отсутствии налоговой задолженности.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праздниках в Республике Казахстан" (далее – Закон о праздниках) с перерывом на обед с 13.00 часов до 14.30 часов.</w:t>
            </w:r>
          </w:p>
          <w:p>
            <w:pPr>
              <w:spacing w:after="20"/>
              <w:ind w:left="20"/>
              <w:jc w:val="both"/>
            </w:pPr>
            <w:r>
              <w:rPr>
                <w:rFonts w:ascii="Times New Roman"/>
                <w:b w:val="false"/>
                <w:i w:val="false"/>
                <w:color w:val="000000"/>
                <w:sz w:val="20"/>
              </w:rPr>
              <w:t>
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
2) портала и (или) ИС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 для получения государственной услуги предоставляется требование о возврате превышения НДС, указанное в декларации по НДС за налоговый период, установленной формы – для возврата превышения НДС.</w:t>
            </w:r>
          </w:p>
          <w:p>
            <w:pPr>
              <w:spacing w:after="20"/>
              <w:ind w:left="20"/>
              <w:jc w:val="both"/>
            </w:pPr>
            <w:r>
              <w:rPr>
                <w:rFonts w:ascii="Times New Roman"/>
                <w:b w:val="false"/>
                <w:i w:val="false"/>
                <w:color w:val="000000"/>
                <w:sz w:val="20"/>
              </w:rPr>
              <w:t>Дополнительно, при:</w:t>
            </w:r>
          </w:p>
          <w:p>
            <w:pPr>
              <w:spacing w:after="20"/>
              <w:ind w:left="20"/>
              <w:jc w:val="both"/>
            </w:pPr>
            <w:r>
              <w:rPr>
                <w:rFonts w:ascii="Times New Roman"/>
                <w:b w:val="false"/>
                <w:i w:val="false"/>
                <w:color w:val="000000"/>
                <w:sz w:val="20"/>
              </w:rPr>
              <w:t>1) проведении налоговой проверки по экспорту товаров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а) договор (контракт) на поставку экспортируемых товаров;</w:t>
            </w:r>
          </w:p>
          <w:p>
            <w:pPr>
              <w:spacing w:after="20"/>
              <w:ind w:left="20"/>
              <w:jc w:val="both"/>
            </w:pPr>
            <w:r>
              <w:rPr>
                <w:rFonts w:ascii="Times New Roman"/>
                <w:b w:val="false"/>
                <w:i w:val="false"/>
                <w:color w:val="000000"/>
                <w:sz w:val="20"/>
              </w:rPr>
              <w:t>б)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органа государственных доходов или таможенного органа другого государства-члена Евразийского экономического союза (далее – ЕАЭС), расположенного в пункте пропуска на таможенной границе ЕАЭС, кроме случаев, указанных в подпунктах в) и е) части четвертой настоящего пункта;</w:t>
            </w:r>
          </w:p>
          <w:p>
            <w:pPr>
              <w:spacing w:after="20"/>
              <w:ind w:left="20"/>
              <w:jc w:val="both"/>
            </w:pPr>
            <w:r>
              <w:rPr>
                <w:rFonts w:ascii="Times New Roman"/>
                <w:b w:val="false"/>
                <w:i w:val="false"/>
                <w:color w:val="000000"/>
                <w:sz w:val="20"/>
              </w:rPr>
              <w:t>в) копия полной декларации на товары с отметками таможенного органа, производившего таможенное декларирование, при вывозе товаров с помещением под таможенную процедуру экспорта:</w:t>
            </w:r>
          </w:p>
          <w:p>
            <w:pPr>
              <w:spacing w:after="20"/>
              <w:ind w:left="20"/>
              <w:jc w:val="both"/>
            </w:pPr>
            <w:r>
              <w:rPr>
                <w:rFonts w:ascii="Times New Roman"/>
                <w:b w:val="false"/>
                <w:i w:val="false"/>
                <w:color w:val="000000"/>
                <w:sz w:val="20"/>
              </w:rPr>
              <w:t>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с использованием периодического таможенного декларирования;</w:t>
            </w:r>
          </w:p>
          <w:p>
            <w:pPr>
              <w:spacing w:after="20"/>
              <w:ind w:left="20"/>
              <w:jc w:val="both"/>
            </w:pPr>
            <w:r>
              <w:rPr>
                <w:rFonts w:ascii="Times New Roman"/>
                <w:b w:val="false"/>
                <w:i w:val="false"/>
                <w:color w:val="000000"/>
                <w:sz w:val="20"/>
              </w:rPr>
              <w:t>с использованием временного таможенного декларирования;</w:t>
            </w:r>
          </w:p>
          <w:p>
            <w:pPr>
              <w:spacing w:after="20"/>
              <w:ind w:left="20"/>
              <w:jc w:val="both"/>
            </w:pPr>
            <w:r>
              <w:rPr>
                <w:rFonts w:ascii="Times New Roman"/>
                <w:b w:val="false"/>
                <w:i w:val="false"/>
                <w:color w:val="000000"/>
                <w:sz w:val="20"/>
              </w:rPr>
              <w:t>г) копии товаросопроводительных документов.</w:t>
            </w:r>
          </w:p>
          <w:p>
            <w:pPr>
              <w:spacing w:after="20"/>
              <w:ind w:left="20"/>
              <w:jc w:val="both"/>
            </w:pPr>
            <w:r>
              <w:rPr>
                <w:rFonts w:ascii="Times New Roman"/>
                <w:b w:val="false"/>
                <w:i w:val="false"/>
                <w:color w:val="000000"/>
                <w:sz w:val="20"/>
              </w:rPr>
              <w:t>При вывозе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д)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е) копии декларации на товары с отметками органа государственных доходов, осуществляющего выпуск товаров в таможенной процедуре экспорта, а также с отметкой органа государственных доходов, расположенного в контрольно-пропускном пункте СЭЗ "Международный центр приграничного сотрудничества "Хоргос";</w:t>
            </w:r>
          </w:p>
          <w:p>
            <w:pPr>
              <w:spacing w:after="20"/>
              <w:ind w:left="20"/>
              <w:jc w:val="both"/>
            </w:pPr>
            <w:r>
              <w:rPr>
                <w:rFonts w:ascii="Times New Roman"/>
                <w:b w:val="false"/>
                <w:i w:val="false"/>
                <w:color w:val="000000"/>
                <w:sz w:val="20"/>
              </w:rPr>
              <w:t>2) проведении налоговой проверки по экспорту товаров для подтверждения оборотов, облагаемых по нулевой ставке (при наличии данных оборотов) при осуществлении дальнейшего экспорта товаров, ранее вывезенных за пределы таможенной территории ЕАЭС с помещением под таможенную процедуру переработки вне таможенной территории, или продуктов их переработки:</w:t>
            </w:r>
          </w:p>
          <w:p>
            <w:pPr>
              <w:spacing w:after="20"/>
              <w:ind w:left="20"/>
              <w:jc w:val="both"/>
            </w:pPr>
            <w:r>
              <w:rPr>
                <w:rFonts w:ascii="Times New Roman"/>
                <w:b w:val="false"/>
                <w:i w:val="false"/>
                <w:color w:val="000000"/>
                <w:sz w:val="20"/>
              </w:rPr>
              <w:t>а)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w:t>
            </w:r>
          </w:p>
          <w:p>
            <w:pPr>
              <w:spacing w:after="20"/>
              <w:ind w:left="20"/>
              <w:jc w:val="both"/>
            </w:pPr>
            <w:r>
              <w:rPr>
                <w:rFonts w:ascii="Times New Roman"/>
                <w:b w:val="false"/>
                <w:i w:val="false"/>
                <w:color w:val="000000"/>
                <w:sz w:val="20"/>
              </w:rPr>
              <w:t>б) копии декларации на товары, оформленной с помещением под таможенную процедуру переработки вне таможенной территории;</w:t>
            </w:r>
          </w:p>
          <w:p>
            <w:pPr>
              <w:spacing w:after="20"/>
              <w:ind w:left="20"/>
              <w:jc w:val="both"/>
            </w:pPr>
            <w:r>
              <w:rPr>
                <w:rFonts w:ascii="Times New Roman"/>
                <w:b w:val="false"/>
                <w:i w:val="false"/>
                <w:color w:val="000000"/>
                <w:sz w:val="20"/>
              </w:rPr>
              <w:t>в)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w:t>
            </w:r>
          </w:p>
          <w:p>
            <w:pPr>
              <w:spacing w:after="20"/>
              <w:ind w:left="20"/>
              <w:jc w:val="both"/>
            </w:pPr>
            <w:r>
              <w:rPr>
                <w:rFonts w:ascii="Times New Roman"/>
                <w:b w:val="false"/>
                <w:i w:val="false"/>
                <w:color w:val="000000"/>
                <w:sz w:val="20"/>
              </w:rPr>
              <w:t>г)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p>
            <w:pPr>
              <w:spacing w:after="20"/>
              <w:ind w:left="20"/>
              <w:jc w:val="both"/>
            </w:pPr>
            <w:r>
              <w:rPr>
                <w:rFonts w:ascii="Times New Roman"/>
                <w:b w:val="false"/>
                <w:i w:val="false"/>
                <w:color w:val="000000"/>
                <w:sz w:val="20"/>
              </w:rPr>
              <w:t xml:space="preserve">при наличии декларации на товары в виде электронного документа, предусмотренной настоящим пунктом, представление документов, установленных подпунктами 2), 3) и 6) пункта 2 и подпунктами 1) и 2) пункта 3 </w:t>
            </w:r>
            <w:r>
              <w:rPr>
                <w:rFonts w:ascii="Times New Roman"/>
                <w:b w:val="false"/>
                <w:i w:val="false"/>
                <w:color w:val="000000"/>
                <w:sz w:val="20"/>
              </w:rPr>
              <w:t>статьи 386</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3) проведении налоговой проверки по экспорту товаров с территории Республики Казахстан на территорию другого государства-члена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а) договоры (контракты) с учетом изменений, дополнений и приложений к ним (далее – договоры (контракты), на основании которых осуществляется экспорт товаров, а при лизинге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p>
            <w:pPr>
              <w:spacing w:after="20"/>
              <w:ind w:left="20"/>
              <w:jc w:val="both"/>
            </w:pPr>
            <w:r>
              <w:rPr>
                <w:rFonts w:ascii="Times New Roman"/>
                <w:b w:val="false"/>
                <w:i w:val="false"/>
                <w:color w:val="000000"/>
                <w:sz w:val="20"/>
              </w:rPr>
              <w:t>
б) заявление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в электронной форме);</w:t>
            </w:r>
          </w:p>
          <w:p>
            <w:pPr>
              <w:spacing w:after="20"/>
              <w:ind w:left="20"/>
              <w:jc w:val="both"/>
            </w:pPr>
            <w:r>
              <w:rPr>
                <w:rFonts w:ascii="Times New Roman"/>
                <w:b w:val="false"/>
                <w:i w:val="false"/>
                <w:color w:val="000000"/>
                <w:sz w:val="20"/>
              </w:rPr>
              <w:t>
в) копии товаросопроводительных документов, подтверждающих перемещение товаров с территории одного государства-члена ЕАЭС на территорию другого государства-члена ЕАЭС.</w:t>
            </w:r>
          </w:p>
          <w:p>
            <w:pPr>
              <w:spacing w:after="20"/>
              <w:ind w:left="20"/>
              <w:jc w:val="both"/>
            </w:pPr>
            <w:r>
              <w:rPr>
                <w:rFonts w:ascii="Times New Roman"/>
                <w:b w:val="false"/>
                <w:i w:val="false"/>
                <w:color w:val="000000"/>
                <w:sz w:val="20"/>
              </w:rPr>
              <w:t>
При экспорте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г)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 xml:space="preserve">
4) проведении налоговой проверки при реализации на территории государств-членов ЕАЭС продуктов переработки давальческого сырья, ранее вывезенного с территории Республики Казахстан на территорию государств-членов ЕАЭС для переработки, за исключением случаев,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393 Налогового кодекса, подтверждение экспорта продуктов переработки:</w:t>
            </w:r>
          </w:p>
          <w:p>
            <w:pPr>
              <w:spacing w:after="20"/>
              <w:ind w:left="20"/>
              <w:jc w:val="both"/>
            </w:pPr>
            <w:r>
              <w:rPr>
                <w:rFonts w:ascii="Times New Roman"/>
                <w:b w:val="false"/>
                <w:i w:val="false"/>
                <w:color w:val="000000"/>
                <w:sz w:val="20"/>
              </w:rPr>
              <w:t>
а) договоров (контрактов) на переработку давальческого сырья;</w:t>
            </w:r>
          </w:p>
          <w:p>
            <w:pPr>
              <w:spacing w:after="20"/>
              <w:ind w:left="20"/>
              <w:jc w:val="both"/>
            </w:pPr>
            <w:r>
              <w:rPr>
                <w:rFonts w:ascii="Times New Roman"/>
                <w:b w:val="false"/>
                <w:i w:val="false"/>
                <w:color w:val="000000"/>
                <w:sz w:val="20"/>
              </w:rPr>
              <w:t>
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д) заявления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продукты переработки, об уплате косвенных налогов и (или) освобождении и (или) ином способе уплаты (на бумажном носителе в оригинале или копии либо в электронной форме);</w:t>
            </w:r>
          </w:p>
          <w:p>
            <w:pPr>
              <w:spacing w:after="20"/>
              <w:ind w:left="20"/>
              <w:jc w:val="both"/>
            </w:pPr>
            <w:r>
              <w:rPr>
                <w:rFonts w:ascii="Times New Roman"/>
                <w:b w:val="false"/>
                <w:i w:val="false"/>
                <w:color w:val="000000"/>
                <w:sz w:val="20"/>
              </w:rPr>
              <w:t>
е) копий товаросопроводительных документов, подтверждающих вывоз продуктов переработки с территории государства-члена ЕАЭС.</w:t>
            </w:r>
          </w:p>
          <w:p>
            <w:pPr>
              <w:spacing w:after="20"/>
              <w:ind w:left="20"/>
              <w:jc w:val="both"/>
            </w:pPr>
            <w:r>
              <w:rPr>
                <w:rFonts w:ascii="Times New Roman"/>
                <w:b w:val="false"/>
                <w:i w:val="false"/>
                <w:color w:val="000000"/>
                <w:sz w:val="20"/>
              </w:rPr>
              <w:t>
Если продукты переработки реализованы налогоплательщику государства-члена ЕАЭС, на территории которого были выполнены работы по переработке давальческого сырья, – на основании документов, подтверждающих отгрузку таких продуктов переработки.</w:t>
            </w:r>
          </w:p>
          <w:p>
            <w:pPr>
              <w:spacing w:after="20"/>
              <w:ind w:left="20"/>
              <w:jc w:val="both"/>
            </w:pPr>
            <w:r>
              <w:rPr>
                <w:rFonts w:ascii="Times New Roman"/>
                <w:b w:val="false"/>
                <w:i w:val="false"/>
                <w:color w:val="000000"/>
                <w:sz w:val="20"/>
              </w:rPr>
              <w:t>
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ж)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При дальнейшем экспорте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подтверждение экспорта продуктов переработки осуществляется на основании следующих документов:</w:t>
            </w:r>
          </w:p>
          <w:p>
            <w:pPr>
              <w:spacing w:after="20"/>
              <w:ind w:left="20"/>
              <w:jc w:val="both"/>
            </w:pPr>
            <w:r>
              <w:rPr>
                <w:rFonts w:ascii="Times New Roman"/>
                <w:b w:val="false"/>
                <w:i w:val="false"/>
                <w:color w:val="000000"/>
                <w:sz w:val="20"/>
              </w:rPr>
              <w:t>
а) договоров (контрактов) на переработку давальческого сырья;</w:t>
            </w:r>
          </w:p>
          <w:p>
            <w:pPr>
              <w:spacing w:after="20"/>
              <w:ind w:left="20"/>
              <w:jc w:val="both"/>
            </w:pPr>
            <w:r>
              <w:rPr>
                <w:rFonts w:ascii="Times New Roman"/>
                <w:b w:val="false"/>
                <w:i w:val="false"/>
                <w:color w:val="000000"/>
                <w:sz w:val="20"/>
              </w:rPr>
              <w:t>
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д) копий товаросопроводительных документов, подтверждающих вывоз продуктов переработки за пределы ЕАЭС.</w:t>
            </w:r>
          </w:p>
          <w:p>
            <w:pPr>
              <w:spacing w:after="20"/>
              <w:ind w:left="20"/>
              <w:jc w:val="both"/>
            </w:pPr>
            <w:r>
              <w:rPr>
                <w:rFonts w:ascii="Times New Roman"/>
                <w:b w:val="false"/>
                <w:i w:val="false"/>
                <w:color w:val="000000"/>
                <w:sz w:val="20"/>
              </w:rPr>
              <w:t>
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е) декларации на товары с отметками таможенного органа государства-члена ЕАЭС, осуществляющего выпуск товаров в таможенной процедуре экспорта, а также с отметкой таможенного органа государства-члена ЕАЭС, расположенного в пункте пропуска на таможенной границе ЕАЭС, кроме случаев, указанных в подпункте ж) настоящего пункта;</w:t>
            </w:r>
          </w:p>
          <w:p>
            <w:pPr>
              <w:spacing w:after="20"/>
              <w:ind w:left="20"/>
              <w:jc w:val="both"/>
            </w:pPr>
            <w:r>
              <w:rPr>
                <w:rFonts w:ascii="Times New Roman"/>
                <w:b w:val="false"/>
                <w:i w:val="false"/>
                <w:color w:val="000000"/>
                <w:sz w:val="20"/>
              </w:rPr>
              <w:t>
ж) полной декларации на товары с отметками таможенного органа государства-члена ЕАЭС, производившего таможенное декларирование, в следующих случаях при:</w:t>
            </w:r>
          </w:p>
          <w:p>
            <w:pPr>
              <w:spacing w:after="20"/>
              <w:ind w:left="20"/>
              <w:jc w:val="both"/>
            </w:pPr>
            <w:r>
              <w:rPr>
                <w:rFonts w:ascii="Times New Roman"/>
                <w:b w:val="false"/>
                <w:i w:val="false"/>
                <w:color w:val="000000"/>
                <w:sz w:val="20"/>
              </w:rPr>
              <w:t>
вывозе товаров в таможенной процедуре экспорта 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периодического декларирования;</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временного декларирования;</w:t>
            </w:r>
          </w:p>
          <w:p>
            <w:pPr>
              <w:spacing w:after="20"/>
              <w:ind w:left="20"/>
              <w:jc w:val="both"/>
            </w:pPr>
            <w:r>
              <w:rPr>
                <w:rFonts w:ascii="Times New Roman"/>
                <w:b w:val="false"/>
                <w:i w:val="false"/>
                <w:color w:val="000000"/>
                <w:sz w:val="20"/>
              </w:rPr>
              <w:t>
з) декларации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подпунктам е) и ж) настоящего пункта, не требуется;</w:t>
            </w:r>
          </w:p>
          <w:p>
            <w:pPr>
              <w:spacing w:after="20"/>
              <w:ind w:left="20"/>
              <w:jc w:val="both"/>
            </w:pPr>
            <w:r>
              <w:rPr>
                <w:rFonts w:ascii="Times New Roman"/>
                <w:b w:val="false"/>
                <w:i w:val="false"/>
                <w:color w:val="000000"/>
                <w:sz w:val="20"/>
              </w:rPr>
              <w:t>
и) документов, подтверждающих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5) проведении налоговой проверки международных перевозок в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а) при экспорте – копия заявления о ввозе товаров и уплате косвенных налогов, полученного экспортером от импортера товаров;</w:t>
            </w:r>
          </w:p>
          <w:p>
            <w:pPr>
              <w:spacing w:after="20"/>
              <w:ind w:left="20"/>
              <w:jc w:val="both"/>
            </w:pPr>
            <w:r>
              <w:rPr>
                <w:rFonts w:ascii="Times New Roman"/>
                <w:b w:val="false"/>
                <w:i w:val="false"/>
                <w:color w:val="000000"/>
                <w:sz w:val="20"/>
              </w:rPr>
              <w:t>
б) при импорте –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w:t>
            </w:r>
          </w:p>
          <w:p>
            <w:pPr>
              <w:spacing w:after="20"/>
              <w:ind w:left="20"/>
              <w:jc w:val="both"/>
            </w:pPr>
            <w:r>
              <w:rPr>
                <w:rFonts w:ascii="Times New Roman"/>
                <w:b w:val="false"/>
                <w:i w:val="false"/>
                <w:color w:val="000000"/>
                <w:sz w:val="20"/>
              </w:rPr>
              <w:t>
в)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г) счета-фактуры;</w:t>
            </w:r>
          </w:p>
          <w:p>
            <w:pPr>
              <w:spacing w:after="20"/>
              <w:ind w:left="20"/>
              <w:jc w:val="both"/>
            </w:pPr>
            <w:r>
              <w:rPr>
                <w:rFonts w:ascii="Times New Roman"/>
                <w:b w:val="false"/>
                <w:i w:val="false"/>
                <w:color w:val="000000"/>
                <w:sz w:val="20"/>
              </w:rPr>
              <w:t>
6) при проведении налоговой проверки по перевозке грузов по системе магистральных трубопроводов с территории одного государства-члена ЕАЭС на территорию этого же или другого государства-члена ЕАЭС через территорию Республики Казахстан:</w:t>
            </w:r>
          </w:p>
          <w:p>
            <w:pPr>
              <w:spacing w:after="20"/>
              <w:ind w:left="20"/>
              <w:jc w:val="both"/>
            </w:pPr>
            <w:r>
              <w:rPr>
                <w:rFonts w:ascii="Times New Roman"/>
                <w:b w:val="false"/>
                <w:i w:val="false"/>
                <w:color w:val="000000"/>
                <w:sz w:val="20"/>
              </w:rPr>
              <w:t>
а) акты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б) счета-фактуры;</w:t>
            </w:r>
          </w:p>
          <w:p>
            <w:pPr>
              <w:spacing w:after="20"/>
              <w:ind w:left="20"/>
              <w:jc w:val="both"/>
            </w:pPr>
            <w:r>
              <w:rPr>
                <w:rFonts w:ascii="Times New Roman"/>
                <w:b w:val="false"/>
                <w:i w:val="false"/>
                <w:color w:val="000000"/>
                <w:sz w:val="20"/>
              </w:rPr>
              <w:t>
7) проведении налоговой проверки работ по переработке давальческого сырья, ввезенного на территорию Республики Казахстан с территории государства-члена ЕАЭС с последующим вывозом продуктов переработки на территорию того же государства-члена ЕАЭС, подтверждением факта выполнения работ по переработке давальческого сырья налогоплательщиком Республики Казахстан являются:</w:t>
            </w:r>
          </w:p>
          <w:p>
            <w:pPr>
              <w:spacing w:after="20"/>
              <w:ind w:left="20"/>
              <w:jc w:val="both"/>
            </w:pPr>
            <w:r>
              <w:rPr>
                <w:rFonts w:ascii="Times New Roman"/>
                <w:b w:val="false"/>
                <w:i w:val="false"/>
                <w:color w:val="000000"/>
                <w:sz w:val="20"/>
              </w:rPr>
              <w:t>
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д) заявление о ввозе товаров и уплате косвенных налогов (на бумажном носителе в оригинале или копии) либо перечень заявлений (на бумажном носителе или в электронной форме), подтверждающие уплату НДС со стоимости работ по переработке давальческого сырья.</w:t>
            </w:r>
          </w:p>
          <w:p>
            <w:pPr>
              <w:spacing w:after="20"/>
              <w:ind w:left="20"/>
              <w:jc w:val="both"/>
            </w:pPr>
            <w:r>
              <w:rPr>
                <w:rFonts w:ascii="Times New Roman"/>
                <w:b w:val="false"/>
                <w:i w:val="false"/>
                <w:color w:val="000000"/>
                <w:sz w:val="20"/>
              </w:rPr>
              <w:t>
При вывозе продуктов переработки давальческого сырья на территорию государства, не являющегося членом ЕАЭС, заявление либо перечень заявлений, указанные в настоящем подпункте, не представляются;</w:t>
            </w:r>
          </w:p>
          <w:p>
            <w:pPr>
              <w:spacing w:after="20"/>
              <w:ind w:left="20"/>
              <w:jc w:val="both"/>
            </w:pPr>
            <w:r>
              <w:rPr>
                <w:rFonts w:ascii="Times New Roman"/>
                <w:b w:val="false"/>
                <w:i w:val="false"/>
                <w:color w:val="000000"/>
                <w:sz w:val="20"/>
              </w:rPr>
              <w:t xml:space="preserve">
е)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ЕАЭС с последующей реализацией продуктов переработки на территорию другого государства-члена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а) договоры (контракты) на переработку давальческого сырья, поставку готовой продукции,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акты приема-сдачи давальческого сырья и готовой продукции;</w:t>
            </w:r>
          </w:p>
          <w:p>
            <w:pPr>
              <w:spacing w:after="20"/>
              <w:ind w:left="20"/>
              <w:jc w:val="both"/>
            </w:pPr>
            <w:r>
              <w:rPr>
                <w:rFonts w:ascii="Times New Roman"/>
                <w:b w:val="false"/>
                <w:i w:val="false"/>
                <w:color w:val="000000"/>
                <w:sz w:val="20"/>
              </w:rPr>
              <w:t>
г)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д)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е) заявление о ввозе товаров и уплате косвенных налогов, подтверждающее уплату НДС со стоимости работ по переработке давальческого сырья, полученное от собственника давальческого сырья;</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з)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территорию государства, не являющегося членом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д) копия декларации на товары, оформленной при вывозе товаров на территорию государства, не являющегося членом ЕАЭС, в таможенной процедуре экспорта, заверенной таможенным органом государства-члена ЕАЭС, осуществившим таможенное декларирование;</w:t>
            </w:r>
          </w:p>
          <w:p>
            <w:pPr>
              <w:spacing w:after="20"/>
              <w:ind w:left="20"/>
              <w:jc w:val="both"/>
            </w:pPr>
            <w:r>
              <w:rPr>
                <w:rFonts w:ascii="Times New Roman"/>
                <w:b w:val="false"/>
                <w:i w:val="false"/>
                <w:color w:val="000000"/>
                <w:sz w:val="20"/>
              </w:rPr>
              <w:t xml:space="preserve">
е) декларация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подпунктом 5) пункта 4 </w:t>
            </w:r>
            <w:r>
              <w:rPr>
                <w:rFonts w:ascii="Times New Roman"/>
                <w:b w:val="false"/>
                <w:i w:val="false"/>
                <w:color w:val="000000"/>
                <w:sz w:val="20"/>
              </w:rPr>
              <w:t>статьи 449</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xml:space="preserve">
ж)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з)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Работы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территории Республики Казахстан, подлежат обложению НДС по ставке, установленной </w:t>
            </w:r>
            <w:r>
              <w:rPr>
                <w:rFonts w:ascii="Times New Roman"/>
                <w:b w:val="false"/>
                <w:i w:val="false"/>
                <w:color w:val="000000"/>
                <w:sz w:val="20"/>
              </w:rPr>
              <w:t>пунктом 1</w:t>
            </w:r>
            <w:r>
              <w:rPr>
                <w:rFonts w:ascii="Times New Roman"/>
                <w:b w:val="false"/>
                <w:i w:val="false"/>
                <w:color w:val="000000"/>
                <w:sz w:val="20"/>
              </w:rPr>
              <w:t xml:space="preserve"> статьи 422 Налогового кодекса.</w:t>
            </w:r>
          </w:p>
          <w:p>
            <w:pPr>
              <w:spacing w:after="20"/>
              <w:ind w:left="20"/>
              <w:jc w:val="both"/>
            </w:pPr>
            <w:r>
              <w:rPr>
                <w:rFonts w:ascii="Times New Roman"/>
                <w:b w:val="false"/>
                <w:i w:val="false"/>
                <w:color w:val="000000"/>
                <w:sz w:val="20"/>
              </w:rPr>
              <w:t xml:space="preserve">
При осуществлении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23 февраля 2018 года № 263 "Об утверждении Правил представления и исполнения обязательств о вывозе (ввозе) продуктов переработки и их формы" (зарегистрирован в Реестре государственной регистрации нормативных правовых актов под № 16589).</w:t>
            </w:r>
          </w:p>
          <w:p>
            <w:pPr>
              <w:spacing w:after="20"/>
              <w:ind w:left="20"/>
              <w:jc w:val="both"/>
            </w:pPr>
            <w:r>
              <w:rPr>
                <w:rFonts w:ascii="Times New Roman"/>
                <w:b w:val="false"/>
                <w:i w:val="false"/>
                <w:color w:val="000000"/>
                <w:sz w:val="20"/>
              </w:rPr>
              <w:t>
Переработка давальческого сырья должна соответствовать условиям переработки товаров, установленным уполномоченным органом.</w:t>
            </w:r>
          </w:p>
          <w:p>
            <w:pPr>
              <w:spacing w:after="20"/>
              <w:ind w:left="20"/>
              <w:jc w:val="both"/>
            </w:pPr>
            <w:r>
              <w:rPr>
                <w:rFonts w:ascii="Times New Roman"/>
                <w:b w:val="false"/>
                <w:i w:val="false"/>
                <w:color w:val="000000"/>
                <w:sz w:val="20"/>
              </w:rPr>
              <w:t>
Заключение соответствующего уполномоченного государственного органа об условиях переработки товаров должно содержать следующие сведения:</w:t>
            </w:r>
          </w:p>
          <w:p>
            <w:pPr>
              <w:spacing w:after="20"/>
              <w:ind w:left="20"/>
              <w:jc w:val="both"/>
            </w:pPr>
            <w:r>
              <w:rPr>
                <w:rFonts w:ascii="Times New Roman"/>
                <w:b w:val="false"/>
                <w:i w:val="false"/>
                <w:color w:val="000000"/>
                <w:sz w:val="20"/>
              </w:rPr>
              <w:t>
а) наименования, классификацию товаров и продуктов переработки в соответствии с единой Товарной номенклатурой внешнеэкономической деятельности ЕАЭС, их количество и стоимость;</w:t>
            </w:r>
          </w:p>
          <w:p>
            <w:pPr>
              <w:spacing w:after="20"/>
              <w:ind w:left="20"/>
              <w:jc w:val="both"/>
            </w:pPr>
            <w:r>
              <w:rPr>
                <w:rFonts w:ascii="Times New Roman"/>
                <w:b w:val="false"/>
                <w:i w:val="false"/>
                <w:color w:val="000000"/>
                <w:sz w:val="20"/>
              </w:rPr>
              <w:t>
б) дату и номер договора (контракта) на переработку, срок переработки;</w:t>
            </w:r>
          </w:p>
          <w:p>
            <w:pPr>
              <w:spacing w:after="20"/>
              <w:ind w:left="20"/>
              <w:jc w:val="both"/>
            </w:pPr>
            <w:r>
              <w:rPr>
                <w:rFonts w:ascii="Times New Roman"/>
                <w:b w:val="false"/>
                <w:i w:val="false"/>
                <w:color w:val="000000"/>
                <w:sz w:val="20"/>
              </w:rPr>
              <w:t>
в) нормы выхода продуктов переработки;</w:t>
            </w:r>
          </w:p>
          <w:p>
            <w:pPr>
              <w:spacing w:after="20"/>
              <w:ind w:left="20"/>
              <w:jc w:val="both"/>
            </w:pPr>
            <w:r>
              <w:rPr>
                <w:rFonts w:ascii="Times New Roman"/>
                <w:b w:val="false"/>
                <w:i w:val="false"/>
                <w:color w:val="000000"/>
                <w:sz w:val="20"/>
              </w:rPr>
              <w:t>
г) характер переработки;</w:t>
            </w:r>
          </w:p>
          <w:p>
            <w:pPr>
              <w:spacing w:after="20"/>
              <w:ind w:left="20"/>
              <w:jc w:val="both"/>
            </w:pPr>
            <w:r>
              <w:rPr>
                <w:rFonts w:ascii="Times New Roman"/>
                <w:b w:val="false"/>
                <w:i w:val="false"/>
                <w:color w:val="000000"/>
                <w:sz w:val="20"/>
              </w:rPr>
              <w:t>
д) сведения о лице, осуществляющем переработку;</w:t>
            </w:r>
          </w:p>
          <w:p>
            <w:pPr>
              <w:spacing w:after="20"/>
              <w:ind w:left="20"/>
              <w:jc w:val="both"/>
            </w:pPr>
            <w:r>
              <w:rPr>
                <w:rFonts w:ascii="Times New Roman"/>
                <w:b w:val="false"/>
                <w:i w:val="false"/>
                <w:color w:val="000000"/>
                <w:sz w:val="20"/>
              </w:rPr>
              <w:t>
8) проведении налоговой проверки по обороту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p>
          <w:p>
            <w:pPr>
              <w:spacing w:after="20"/>
              <w:ind w:left="20"/>
              <w:jc w:val="both"/>
            </w:pPr>
            <w:r>
              <w:rPr>
                <w:rFonts w:ascii="Times New Roman"/>
                <w:b w:val="false"/>
                <w:i w:val="false"/>
                <w:color w:val="000000"/>
                <w:sz w:val="20"/>
              </w:rPr>
              <w:t>
б) копии документов, подтверждающих стоимость аффинированного золота, реализованного Национальному Банку Республики Казахстан;</w:t>
            </w:r>
          </w:p>
          <w:p>
            <w:pPr>
              <w:spacing w:after="20"/>
              <w:ind w:left="20"/>
              <w:jc w:val="both"/>
            </w:pPr>
            <w:r>
              <w:rPr>
                <w:rFonts w:ascii="Times New Roman"/>
                <w:b w:val="false"/>
                <w:i w:val="false"/>
                <w:color w:val="000000"/>
                <w:sz w:val="20"/>
              </w:rPr>
              <w:t>
в)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p>
          <w:p>
            <w:pPr>
              <w:spacing w:after="20"/>
              <w:ind w:left="20"/>
              <w:jc w:val="both"/>
            </w:pPr>
            <w:r>
              <w:rPr>
                <w:rFonts w:ascii="Times New Roman"/>
                <w:b w:val="false"/>
                <w:i w:val="false"/>
                <w:color w:val="000000"/>
                <w:sz w:val="20"/>
              </w:rPr>
              <w:t>
9) проведении налоговой проверки по обороту по реализации услуг по международным перевозкам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при перевозке грузов:</w:t>
            </w:r>
          </w:p>
          <w:p>
            <w:pPr>
              <w:spacing w:after="20"/>
              <w:ind w:left="20"/>
              <w:jc w:val="both"/>
            </w:pPr>
            <w:r>
              <w:rPr>
                <w:rFonts w:ascii="Times New Roman"/>
                <w:b w:val="false"/>
                <w:i w:val="false"/>
                <w:color w:val="000000"/>
                <w:sz w:val="20"/>
              </w:rPr>
              <w:t>
в международном автомобильном сообщении – товарно-транспортная накладная;</w:t>
            </w:r>
          </w:p>
          <w:p>
            <w:pPr>
              <w:spacing w:after="20"/>
              <w:ind w:left="20"/>
              <w:jc w:val="both"/>
            </w:pPr>
            <w:r>
              <w:rPr>
                <w:rFonts w:ascii="Times New Roman"/>
                <w:b w:val="false"/>
                <w:i w:val="false"/>
                <w:color w:val="000000"/>
                <w:sz w:val="20"/>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транспорт-накладная единого образца;</w:t>
            </w:r>
          </w:p>
          <w:p>
            <w:pPr>
              <w:spacing w:after="20"/>
              <w:ind w:left="20"/>
              <w:jc w:val="both"/>
            </w:pPr>
            <w:r>
              <w:rPr>
                <w:rFonts w:ascii="Times New Roman"/>
                <w:b w:val="false"/>
                <w:i w:val="false"/>
                <w:color w:val="000000"/>
                <w:sz w:val="20"/>
              </w:rPr>
              <w:t>
воздушным транспортом – грузовая накладная (авианакладная);</w:t>
            </w:r>
          </w:p>
          <w:p>
            <w:pPr>
              <w:spacing w:after="20"/>
              <w:ind w:left="20"/>
              <w:jc w:val="both"/>
            </w:pPr>
            <w:r>
              <w:rPr>
                <w:rFonts w:ascii="Times New Roman"/>
                <w:b w:val="false"/>
                <w:i w:val="false"/>
                <w:color w:val="000000"/>
                <w:sz w:val="20"/>
              </w:rPr>
              <w:t>
морским транспортом – коносамент или морская накладная;</w:t>
            </w:r>
          </w:p>
          <w:p>
            <w:pPr>
              <w:spacing w:after="20"/>
              <w:ind w:left="20"/>
              <w:jc w:val="both"/>
            </w:pPr>
            <w:r>
              <w:rPr>
                <w:rFonts w:ascii="Times New Roman"/>
                <w:b w:val="false"/>
                <w:i w:val="false"/>
                <w:color w:val="000000"/>
                <w:sz w:val="20"/>
              </w:rPr>
              <w:t>
транзитом двумя или более видами транспорта (смешанная перевозка) – единая товарно-транспортная накладная (единый коносамент);</w:t>
            </w:r>
          </w:p>
          <w:p>
            <w:pPr>
              <w:spacing w:after="20"/>
              <w:ind w:left="20"/>
              <w:jc w:val="both"/>
            </w:pPr>
            <w:r>
              <w:rPr>
                <w:rFonts w:ascii="Times New Roman"/>
                <w:b w:val="false"/>
                <w:i w:val="false"/>
                <w:color w:val="000000"/>
                <w:sz w:val="20"/>
              </w:rPr>
              <w:t>
б) по системе магистральных трубопроводов:</w:t>
            </w:r>
          </w:p>
          <w:p>
            <w:pPr>
              <w:spacing w:after="20"/>
              <w:ind w:left="20"/>
              <w:jc w:val="both"/>
            </w:pPr>
            <w:r>
              <w:rPr>
                <w:rFonts w:ascii="Times New Roman"/>
                <w:b w:val="false"/>
                <w:i w:val="false"/>
                <w:color w:val="000000"/>
                <w:sz w:val="20"/>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p>
            <w:pPr>
              <w:spacing w:after="20"/>
              <w:ind w:left="20"/>
              <w:jc w:val="both"/>
            </w:pPr>
            <w:r>
              <w:rPr>
                <w:rFonts w:ascii="Times New Roman"/>
                <w:b w:val="false"/>
                <w:i w:val="false"/>
                <w:color w:val="000000"/>
                <w:sz w:val="20"/>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в) при перевозке пассажиров, багажа и грузобагажа:</w:t>
            </w:r>
          </w:p>
          <w:p>
            <w:pPr>
              <w:spacing w:after="20"/>
              <w:ind w:left="20"/>
              <w:jc w:val="both"/>
            </w:pPr>
            <w:r>
              <w:rPr>
                <w:rFonts w:ascii="Times New Roman"/>
                <w:b w:val="false"/>
                <w:i w:val="false"/>
                <w:color w:val="000000"/>
                <w:sz w:val="20"/>
              </w:rPr>
              <w:t>
автомобильным транспортом:</w:t>
            </w:r>
          </w:p>
          <w:p>
            <w:pPr>
              <w:spacing w:after="20"/>
              <w:ind w:left="20"/>
              <w:jc w:val="both"/>
            </w:pPr>
            <w:r>
              <w:rPr>
                <w:rFonts w:ascii="Times New Roman"/>
                <w:b w:val="false"/>
                <w:i w:val="false"/>
                <w:color w:val="000000"/>
                <w:sz w:val="20"/>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p>
            <w:pPr>
              <w:spacing w:after="20"/>
              <w:ind w:left="20"/>
              <w:jc w:val="both"/>
            </w:pPr>
            <w:r>
              <w:rPr>
                <w:rFonts w:ascii="Times New Roman"/>
                <w:b w:val="false"/>
                <w:i w:val="false"/>
                <w:color w:val="000000"/>
                <w:sz w:val="20"/>
              </w:rPr>
              <w:t>
при нерегулярных перевозках – договор об оказании транспортных услуг в международном сообщении;</w:t>
            </w:r>
          </w:p>
          <w:p>
            <w:pPr>
              <w:spacing w:after="20"/>
              <w:ind w:left="20"/>
              <w:jc w:val="both"/>
            </w:pPr>
            <w:r>
              <w:rPr>
                <w:rFonts w:ascii="Times New Roman"/>
                <w:b w:val="false"/>
                <w:i w:val="false"/>
                <w:color w:val="000000"/>
                <w:sz w:val="20"/>
              </w:rPr>
              <w:t>
железнодорожным транспортом:</w:t>
            </w:r>
          </w:p>
          <w:p>
            <w:pPr>
              <w:spacing w:after="20"/>
              <w:ind w:left="20"/>
              <w:jc w:val="both"/>
            </w:pPr>
            <w:r>
              <w:rPr>
                <w:rFonts w:ascii="Times New Roman"/>
                <w:b w:val="false"/>
                <w:i w:val="false"/>
                <w:color w:val="000000"/>
                <w:sz w:val="20"/>
              </w:rPr>
              <w:t>
отчет о продаже проездных, перевозочных и почтовых документов, проданных в Республике Казахстан;</w:t>
            </w:r>
          </w:p>
          <w:p>
            <w:pPr>
              <w:spacing w:after="20"/>
              <w:ind w:left="20"/>
              <w:jc w:val="both"/>
            </w:pPr>
            <w:r>
              <w:rPr>
                <w:rFonts w:ascii="Times New Roman"/>
                <w:b w:val="false"/>
                <w:i w:val="false"/>
                <w:color w:val="000000"/>
                <w:sz w:val="20"/>
              </w:rPr>
              <w:t>
расчетная ведомость о пассажирских билетах, проданных в Республике Казахстан, в международном сообщении;</w:t>
            </w:r>
          </w:p>
          <w:p>
            <w:pPr>
              <w:spacing w:after="20"/>
              <w:ind w:left="20"/>
              <w:jc w:val="both"/>
            </w:pPr>
            <w:r>
              <w:rPr>
                <w:rFonts w:ascii="Times New Roman"/>
                <w:b w:val="false"/>
                <w:i w:val="false"/>
                <w:color w:val="000000"/>
                <w:sz w:val="20"/>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p>
            <w:pPr>
              <w:spacing w:after="20"/>
              <w:ind w:left="20"/>
              <w:jc w:val="both"/>
            </w:pPr>
            <w:r>
              <w:rPr>
                <w:rFonts w:ascii="Times New Roman"/>
                <w:b w:val="false"/>
                <w:i w:val="false"/>
                <w:color w:val="000000"/>
                <w:sz w:val="20"/>
              </w:rPr>
              <w:t>
воздушным транспортом:</w:t>
            </w:r>
          </w:p>
          <w:p>
            <w:pPr>
              <w:spacing w:after="20"/>
              <w:ind w:left="20"/>
              <w:jc w:val="both"/>
            </w:pPr>
            <w:r>
              <w:rPr>
                <w:rFonts w:ascii="Times New Roman"/>
                <w:b w:val="false"/>
                <w:i w:val="false"/>
                <w:color w:val="000000"/>
                <w:sz w:val="20"/>
              </w:rPr>
              <w:t>
генеральная декларация;</w:t>
            </w:r>
          </w:p>
          <w:p>
            <w:pPr>
              <w:spacing w:after="20"/>
              <w:ind w:left="20"/>
              <w:jc w:val="both"/>
            </w:pPr>
            <w:r>
              <w:rPr>
                <w:rFonts w:ascii="Times New Roman"/>
                <w:b w:val="false"/>
                <w:i w:val="false"/>
                <w:color w:val="000000"/>
                <w:sz w:val="20"/>
              </w:rPr>
              <w:t>
пассажирский манифест;</w:t>
            </w:r>
          </w:p>
          <w:p>
            <w:pPr>
              <w:spacing w:after="20"/>
              <w:ind w:left="20"/>
              <w:jc w:val="both"/>
            </w:pPr>
            <w:r>
              <w:rPr>
                <w:rFonts w:ascii="Times New Roman"/>
                <w:b w:val="false"/>
                <w:i w:val="false"/>
                <w:color w:val="000000"/>
                <w:sz w:val="20"/>
              </w:rPr>
              <w:t>
карго-манифест;</w:t>
            </w:r>
          </w:p>
          <w:p>
            <w:pPr>
              <w:spacing w:after="20"/>
              <w:ind w:left="20"/>
              <w:jc w:val="both"/>
            </w:pPr>
            <w:r>
              <w:rPr>
                <w:rFonts w:ascii="Times New Roman"/>
                <w:b w:val="false"/>
                <w:i w:val="false"/>
                <w:color w:val="000000"/>
                <w:sz w:val="20"/>
              </w:rPr>
              <w:t>
лоджит (центрально-загрузочный график);</w:t>
            </w:r>
          </w:p>
          <w:p>
            <w:pPr>
              <w:spacing w:after="20"/>
              <w:ind w:left="20"/>
              <w:jc w:val="both"/>
            </w:pPr>
            <w:r>
              <w:rPr>
                <w:rFonts w:ascii="Times New Roman"/>
                <w:b w:val="false"/>
                <w:i w:val="false"/>
                <w:color w:val="000000"/>
                <w:sz w:val="20"/>
              </w:rPr>
              <w:t>
сводно-загрузочная ведомость (проездной билет и багажная квитанция);</w:t>
            </w:r>
          </w:p>
          <w:p>
            <w:pPr>
              <w:spacing w:after="20"/>
              <w:ind w:left="20"/>
              <w:jc w:val="both"/>
            </w:pPr>
            <w:r>
              <w:rPr>
                <w:rFonts w:ascii="Times New Roman"/>
                <w:b w:val="false"/>
                <w:i w:val="false"/>
                <w:color w:val="000000"/>
                <w:sz w:val="20"/>
              </w:rPr>
              <w:t>
г) при услуге по проследованию пассажирских поездов (вагонов) в международном сообщении – натурный лист пассажирского поезда.</w:t>
            </w:r>
          </w:p>
          <w:p>
            <w:pPr>
              <w:spacing w:after="20"/>
              <w:ind w:left="20"/>
              <w:jc w:val="both"/>
            </w:pPr>
            <w:r>
              <w:rPr>
                <w:rFonts w:ascii="Times New Roman"/>
                <w:b w:val="false"/>
                <w:i w:val="false"/>
                <w:color w:val="000000"/>
                <w:sz w:val="20"/>
              </w:rPr>
              <w:t xml:space="preserve">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подпункта 1) части первой пункта 4 </w:t>
            </w:r>
            <w:r>
              <w:rPr>
                <w:rFonts w:ascii="Times New Roman"/>
                <w:b w:val="false"/>
                <w:i w:val="false"/>
                <w:color w:val="000000"/>
                <w:sz w:val="20"/>
              </w:rPr>
              <w:t>статьи 387</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10) проведении налоговой проверки по обороту по реализации горюче-смазочных материалов, осуществляемой аэропортами, поставщиками услуг наземного обслуживания при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аэропорта, поставщика услуг наземного обслуживания с иностранной авиакомпанией, предусматривающий и (или) включающий реализацию горюче-смазочных материалов, – при осуществлении регулярных рейсов;</w:t>
            </w:r>
          </w:p>
          <w:p>
            <w:pPr>
              <w:spacing w:after="20"/>
              <w:ind w:left="20"/>
              <w:jc w:val="both"/>
            </w:pPr>
            <w:r>
              <w:rPr>
                <w:rFonts w:ascii="Times New Roman"/>
                <w:b w:val="false"/>
                <w:i w:val="false"/>
                <w:color w:val="000000"/>
                <w:sz w:val="20"/>
              </w:rPr>
              <w:t>
заявка иностранной авиакомпании и (или) договор (соглашение) аэропорта, поставщика услуг наземного обслуживания с иностранной авиакомпанией – при осуществлении нерегулярных рейсов;</w:t>
            </w:r>
          </w:p>
          <w:p>
            <w:pPr>
              <w:spacing w:after="20"/>
              <w:ind w:left="20"/>
              <w:jc w:val="both"/>
            </w:pPr>
            <w:r>
              <w:rPr>
                <w:rFonts w:ascii="Times New Roman"/>
                <w:b w:val="false"/>
                <w:i w:val="false"/>
                <w:color w:val="000000"/>
                <w:sz w:val="20"/>
              </w:rPr>
              <w:t>
б)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w:t>
            </w:r>
          </w:p>
          <w:p>
            <w:pPr>
              <w:spacing w:after="20"/>
              <w:ind w:left="20"/>
              <w:jc w:val="both"/>
            </w:pPr>
            <w:r>
              <w:rPr>
                <w:rFonts w:ascii="Times New Roman"/>
                <w:b w:val="false"/>
                <w:i w:val="false"/>
                <w:color w:val="000000"/>
                <w:sz w:val="20"/>
              </w:rPr>
              <w:t>
в) документ, подтверждающий факт оплаты за реализованные аэропортом, поставщиком услуг наземного обслуживания, горюче-смазочные материалы;</w:t>
            </w:r>
          </w:p>
          <w:p>
            <w:pPr>
              <w:spacing w:after="20"/>
              <w:ind w:left="20"/>
              <w:jc w:val="both"/>
            </w:pPr>
            <w:r>
              <w:rPr>
                <w:rFonts w:ascii="Times New Roman"/>
                <w:b w:val="false"/>
                <w:i w:val="false"/>
                <w:color w:val="000000"/>
                <w:sz w:val="20"/>
              </w:rPr>
              <w:t xml:space="preserve">
г) заключение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НДС, предъявленных к возврату, (исключить)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в порядке,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5 февраля 2018 года № 122 "Об утверждении Правил и формы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(зарегистрирован в Реестре государственной регистрации нормативных правовых актов под № 16461);</w:t>
            </w:r>
          </w:p>
          <w:p>
            <w:pPr>
              <w:spacing w:after="20"/>
              <w:ind w:left="20"/>
              <w:jc w:val="both"/>
            </w:pPr>
            <w:r>
              <w:rPr>
                <w:rFonts w:ascii="Times New Roman"/>
                <w:b w:val="false"/>
                <w:i w:val="false"/>
                <w:color w:val="000000"/>
                <w:sz w:val="20"/>
              </w:rPr>
              <w:t>
11) проведении налоговой проверки при реализации товаров, полностью потребляемых при осуществлении деятельности, отвечающей целям создания СЭЗ по обороту,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(контракт) на поставку товаров с организациями, осуществляющими деятельность на территориях СЭЗ;</w:t>
            </w:r>
          </w:p>
          <w:p>
            <w:pPr>
              <w:spacing w:after="20"/>
              <w:ind w:left="20"/>
              <w:jc w:val="both"/>
            </w:pPr>
            <w:r>
              <w:rPr>
                <w:rFonts w:ascii="Times New Roman"/>
                <w:b w:val="false"/>
                <w:i w:val="false"/>
                <w:color w:val="000000"/>
                <w:sz w:val="20"/>
              </w:rPr>
              <w:t>
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 (далее – СТЗ);</w:t>
            </w:r>
          </w:p>
          <w:p>
            <w:pPr>
              <w:spacing w:after="20"/>
              <w:ind w:left="20"/>
              <w:jc w:val="both"/>
            </w:pPr>
            <w:r>
              <w:rPr>
                <w:rFonts w:ascii="Times New Roman"/>
                <w:b w:val="false"/>
                <w:i w:val="false"/>
                <w:color w:val="000000"/>
                <w:sz w:val="20"/>
              </w:rPr>
              <w:t>
в) копии товаросопроводительных документов, подтверждающих отгрузку товаров организациям, указанным в подпункте 1) настоящего пункта;</w:t>
            </w:r>
          </w:p>
          <w:p>
            <w:pPr>
              <w:spacing w:after="20"/>
              <w:ind w:left="20"/>
              <w:jc w:val="both"/>
            </w:pPr>
            <w:r>
              <w:rPr>
                <w:rFonts w:ascii="Times New Roman"/>
                <w:b w:val="false"/>
                <w:i w:val="false"/>
                <w:color w:val="000000"/>
                <w:sz w:val="20"/>
              </w:rPr>
              <w:t>
г) копии документов, подтверждающих получение товаров организациями, указанными в подпункте 1) настоящего пункта;</w:t>
            </w:r>
          </w:p>
          <w:p>
            <w:pPr>
              <w:spacing w:after="20"/>
              <w:ind w:left="20"/>
              <w:jc w:val="both"/>
            </w:pPr>
            <w:r>
              <w:rPr>
                <w:rFonts w:ascii="Times New Roman"/>
                <w:b w:val="false"/>
                <w:i w:val="false"/>
                <w:color w:val="000000"/>
                <w:sz w:val="20"/>
              </w:rPr>
              <w:t xml:space="preserve">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подпунктом 2) пункта 2 </w:t>
            </w:r>
            <w:r>
              <w:rPr>
                <w:rFonts w:ascii="Times New Roman"/>
                <w:b w:val="false"/>
                <w:i w:val="false"/>
                <w:color w:val="000000"/>
                <w:sz w:val="20"/>
              </w:rPr>
              <w:t>статьи 389</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12) проведении налоговой проверки при реализации товаров, потребляемых или реализуемых при осуществлении деятельности, отвечающей целям создания СЭЗ, пределы которой полностью или частично совпадают с участками таможенной границы ЕАЭС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(контракт) на поставку товаров с организациями и (или) лицами (далее – субъекты), осуществляющими деятельность на территории СЭЗ, пределы которой полностью или частично совпадают с участками таможенной границы ЕАЭС;</w:t>
            </w:r>
          </w:p>
          <w:p>
            <w:pPr>
              <w:spacing w:after="20"/>
              <w:ind w:left="20"/>
              <w:jc w:val="both"/>
            </w:pPr>
            <w:r>
              <w:rPr>
                <w:rFonts w:ascii="Times New Roman"/>
                <w:b w:val="false"/>
                <w:i w:val="false"/>
                <w:color w:val="000000"/>
                <w:sz w:val="20"/>
              </w:rPr>
              <w:t>
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СТЗ;</w:t>
            </w:r>
          </w:p>
          <w:p>
            <w:pPr>
              <w:spacing w:after="20"/>
              <w:ind w:left="20"/>
              <w:jc w:val="both"/>
            </w:pPr>
            <w:r>
              <w:rPr>
                <w:rFonts w:ascii="Times New Roman"/>
                <w:b w:val="false"/>
                <w:i w:val="false"/>
                <w:color w:val="000000"/>
                <w:sz w:val="20"/>
              </w:rPr>
              <w:t>
в) копии товаросопроводительных документов, подтверждающих отгрузку товаров субъектам;</w:t>
            </w:r>
          </w:p>
          <w:p>
            <w:pPr>
              <w:spacing w:after="20"/>
              <w:ind w:left="20"/>
              <w:jc w:val="both"/>
            </w:pPr>
            <w:r>
              <w:rPr>
                <w:rFonts w:ascii="Times New Roman"/>
                <w:b w:val="false"/>
                <w:i w:val="false"/>
                <w:color w:val="000000"/>
                <w:sz w:val="20"/>
              </w:rPr>
              <w:t>
г) копии документов, подтверждающих получение товаров субъектами;</w:t>
            </w:r>
          </w:p>
          <w:p>
            <w:pPr>
              <w:spacing w:after="20"/>
              <w:ind w:left="20"/>
              <w:jc w:val="both"/>
            </w:pPr>
            <w:r>
              <w:rPr>
                <w:rFonts w:ascii="Times New Roman"/>
                <w:b w:val="false"/>
                <w:i w:val="false"/>
                <w:color w:val="000000"/>
                <w:sz w:val="20"/>
              </w:rPr>
              <w:t xml:space="preserve">
при определении суммы НДС, подлежащей возврату в соответствии со </w:t>
            </w:r>
            <w:r>
              <w:rPr>
                <w:rFonts w:ascii="Times New Roman"/>
                <w:b w:val="false"/>
                <w:i w:val="false"/>
                <w:color w:val="000000"/>
                <w:sz w:val="20"/>
              </w:rPr>
              <w:t>статьей 391</w:t>
            </w:r>
            <w:r>
              <w:rPr>
                <w:rFonts w:ascii="Times New Roman"/>
                <w:b w:val="false"/>
                <w:i w:val="false"/>
                <w:color w:val="000000"/>
                <w:sz w:val="20"/>
              </w:rPr>
              <w:t xml:space="preserve"> Налогового кодекса, учитываются сведения таможенного органа, подтверждающие реализацию или фактическое потребление ввезенных товаров при осуществлении деятельности, отвечающей целям создания СЭЗ, которые формируются на основе данных, представленных участником СЭЗ;</w:t>
            </w:r>
          </w:p>
          <w:p>
            <w:pPr>
              <w:spacing w:after="20"/>
              <w:ind w:left="20"/>
              <w:jc w:val="both"/>
            </w:pPr>
            <w:r>
              <w:rPr>
                <w:rFonts w:ascii="Times New Roman"/>
                <w:b w:val="false"/>
                <w:i w:val="false"/>
                <w:color w:val="000000"/>
                <w:sz w:val="20"/>
              </w:rPr>
              <w:t>
13) проведении налоговой проверки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p>
            <w:pPr>
              <w:spacing w:after="20"/>
              <w:ind w:left="20"/>
              <w:jc w:val="both"/>
            </w:pPr>
            <w:r>
              <w:rPr>
                <w:rFonts w:ascii="Times New Roman"/>
                <w:b w:val="false"/>
                <w:i w:val="false"/>
                <w:color w:val="000000"/>
                <w:sz w:val="20"/>
              </w:rPr>
              <w:t>
б) копии товаросопроводительных документов, подтверждающих отгрузку товаров налогоплательщикам;</w:t>
            </w:r>
          </w:p>
          <w:p>
            <w:pPr>
              <w:spacing w:after="20"/>
              <w:ind w:left="20"/>
              <w:jc w:val="both"/>
            </w:pPr>
            <w:r>
              <w:rPr>
                <w:rFonts w:ascii="Times New Roman"/>
                <w:b w:val="false"/>
                <w:i w:val="false"/>
                <w:color w:val="000000"/>
                <w:sz w:val="20"/>
              </w:rPr>
              <w:t>
в) копии документов, подтверждающих получение товаров налогоплательщиками.</w:t>
            </w:r>
          </w:p>
          <w:p>
            <w:pPr>
              <w:spacing w:after="20"/>
              <w:ind w:left="20"/>
              <w:jc w:val="both"/>
            </w:pPr>
            <w:r>
              <w:rPr>
                <w:rFonts w:ascii="Times New Roman"/>
                <w:b w:val="false"/>
                <w:i w:val="false"/>
                <w:color w:val="000000"/>
                <w:sz w:val="20"/>
              </w:rPr>
              <w:t xml:space="preserve">
Документами, подтверждающими реализацию нестабильного конденсата, указанного в </w:t>
            </w:r>
            <w:r>
              <w:rPr>
                <w:rFonts w:ascii="Times New Roman"/>
                <w:b w:val="false"/>
                <w:i w:val="false"/>
                <w:color w:val="000000"/>
                <w:sz w:val="20"/>
              </w:rPr>
              <w:t>пункте 2</w:t>
            </w:r>
            <w:r>
              <w:rPr>
                <w:rFonts w:ascii="Times New Roman"/>
                <w:b w:val="false"/>
                <w:i w:val="false"/>
                <w:color w:val="000000"/>
                <w:sz w:val="20"/>
              </w:rPr>
              <w:t xml:space="preserve"> статьи 393 Налогового кодекса, являются:</w:t>
            </w:r>
          </w:p>
          <w:p>
            <w:pPr>
              <w:spacing w:after="20"/>
              <w:ind w:left="20"/>
              <w:jc w:val="both"/>
            </w:pPr>
            <w:r>
              <w:rPr>
                <w:rFonts w:ascii="Times New Roman"/>
                <w:b w:val="false"/>
                <w:i w:val="false"/>
                <w:color w:val="000000"/>
                <w:sz w:val="20"/>
              </w:rPr>
              <w:t>
а)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ЕАЭС;</w:t>
            </w:r>
          </w:p>
          <w:p>
            <w:pPr>
              <w:spacing w:after="20"/>
              <w:ind w:left="20"/>
              <w:jc w:val="both"/>
            </w:pPr>
            <w:r>
              <w:rPr>
                <w:rFonts w:ascii="Times New Roman"/>
                <w:b w:val="false"/>
                <w:i w:val="false"/>
                <w:color w:val="000000"/>
                <w:sz w:val="20"/>
              </w:rPr>
              <w:t>
б) акт снятия показаний с приборов учета количества реализованного нестабильного конденсата по системе трубопроводов;</w:t>
            </w:r>
          </w:p>
          <w:p>
            <w:pPr>
              <w:spacing w:after="20"/>
              <w:ind w:left="20"/>
              <w:jc w:val="both"/>
            </w:pPr>
            <w:r>
              <w:rPr>
                <w:rFonts w:ascii="Times New Roman"/>
                <w:b w:val="false"/>
                <w:i w:val="false"/>
                <w:color w:val="000000"/>
                <w:sz w:val="20"/>
              </w:rPr>
              <w:t>
в) акт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p>
            <w:pPr>
              <w:spacing w:after="20"/>
              <w:ind w:left="20"/>
              <w:jc w:val="both"/>
            </w:pPr>
            <w:r>
              <w:rPr>
                <w:rFonts w:ascii="Times New Roman"/>
                <w:b w:val="false"/>
                <w:i w:val="false"/>
                <w:color w:val="000000"/>
                <w:sz w:val="20"/>
              </w:rPr>
              <w:t>
Документами, подтверждающими реализацию товаров, указанных в пункте 3 статьи 393 Налогового кодекса, являются:</w:t>
            </w:r>
          </w:p>
          <w:p>
            <w:pPr>
              <w:spacing w:after="20"/>
              <w:ind w:left="20"/>
              <w:jc w:val="both"/>
            </w:pPr>
            <w:r>
              <w:rPr>
                <w:rFonts w:ascii="Times New Roman"/>
                <w:b w:val="false"/>
                <w:i w:val="false"/>
                <w:color w:val="000000"/>
                <w:sz w:val="20"/>
              </w:rPr>
              <w:t>
а) договоры (контракты) на переработку давальческого сырья;</w:t>
            </w:r>
          </w:p>
          <w:p>
            <w:pPr>
              <w:spacing w:after="20"/>
              <w:ind w:left="20"/>
              <w:jc w:val="both"/>
            </w:pPr>
            <w:r>
              <w:rPr>
                <w:rFonts w:ascii="Times New Roman"/>
                <w:b w:val="false"/>
                <w:i w:val="false"/>
                <w:color w:val="000000"/>
                <w:sz w:val="20"/>
              </w:rPr>
              <w:t>
б) договоры (контракты), на основании которых осуществляется реализация продуктов переработки;</w:t>
            </w:r>
          </w:p>
          <w:p>
            <w:pPr>
              <w:spacing w:after="20"/>
              <w:ind w:left="20"/>
              <w:jc w:val="both"/>
            </w:pPr>
            <w:r>
              <w:rPr>
                <w:rFonts w:ascii="Times New Roman"/>
                <w:b w:val="false"/>
                <w:i w:val="false"/>
                <w:color w:val="000000"/>
                <w:sz w:val="20"/>
              </w:rPr>
              <w:t>
в)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p>
            <w:pPr>
              <w:spacing w:after="20"/>
              <w:ind w:left="20"/>
              <w:jc w:val="both"/>
            </w:pPr>
            <w:r>
              <w:rPr>
                <w:rFonts w:ascii="Times New Roman"/>
                <w:b w:val="false"/>
                <w:i w:val="false"/>
                <w:color w:val="000000"/>
                <w:sz w:val="20"/>
              </w:rPr>
              <w:t>
д) документы, подтверждающие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p>
            <w:pPr>
              <w:spacing w:after="20"/>
              <w:ind w:left="20"/>
              <w:jc w:val="both"/>
            </w:pPr>
            <w:r>
              <w:rPr>
                <w:rFonts w:ascii="Times New Roman"/>
                <w:b w:val="false"/>
                <w:i w:val="false"/>
                <w:color w:val="000000"/>
                <w:sz w:val="20"/>
              </w:rPr>
              <w:t>
е)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 на территории государства-члена ЕАЭС, предусмотренное пунктом 8 статьи 449 Налогового кодекса.</w:t>
            </w:r>
          </w:p>
          <w:p>
            <w:pPr>
              <w:spacing w:after="20"/>
              <w:ind w:left="20"/>
              <w:jc w:val="both"/>
            </w:pPr>
            <w:r>
              <w:rPr>
                <w:rFonts w:ascii="Times New Roman"/>
                <w:b w:val="false"/>
                <w:i w:val="false"/>
                <w:color w:val="000000"/>
                <w:sz w:val="20"/>
              </w:rPr>
              <w:t>
Документы, представляемые услугополучателем в ходе налоговой проверки, проводимой органом государственных доходов, указанные в настоящем пункте, услугополучатели представляют по подтверждению достоверности сумм НДС, предъявленных к возврату за налоговый период, за который представлена декларация по НДС с указанием требования о возврате превышения НДС, а также предыдущие налоговые периоды, за которые не проводились налоговые проверки по НДС, но не превышающие срок исковой давности.</w:t>
            </w:r>
          </w:p>
          <w:p>
            <w:pPr>
              <w:spacing w:after="20"/>
              <w:ind w:left="20"/>
              <w:jc w:val="both"/>
            </w:pPr>
            <w:r>
              <w:rPr>
                <w:rFonts w:ascii="Times New Roman"/>
                <w:b w:val="false"/>
                <w:i w:val="false"/>
                <w:color w:val="000000"/>
                <w:sz w:val="20"/>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p>
            <w:pPr>
              <w:spacing w:after="20"/>
              <w:ind w:left="20"/>
              <w:jc w:val="both"/>
            </w:pPr>
            <w:r>
              <w:rPr>
                <w:rFonts w:ascii="Times New Roman"/>
                <w:b w:val="false"/>
                <w:i w:val="false"/>
                <w:color w:val="000000"/>
                <w:sz w:val="20"/>
              </w:rPr>
              <w:t>
При обращении по почте услугодателем проставляется отметка на почтовом уведомлении;</w:t>
            </w:r>
          </w:p>
          <w:p>
            <w:pPr>
              <w:spacing w:after="20"/>
              <w:ind w:left="20"/>
              <w:jc w:val="both"/>
            </w:pPr>
            <w:r>
              <w:rPr>
                <w:rFonts w:ascii="Times New Roman"/>
                <w:b w:val="false"/>
                <w:i w:val="false"/>
                <w:color w:val="000000"/>
                <w:sz w:val="20"/>
              </w:rPr>
              <w:t>
через портал и (или) ИС:</w:t>
            </w:r>
          </w:p>
          <w:p>
            <w:pPr>
              <w:spacing w:after="20"/>
              <w:ind w:left="20"/>
              <w:jc w:val="both"/>
            </w:pPr>
            <w:r>
              <w:rPr>
                <w:rFonts w:ascii="Times New Roman"/>
                <w:b w:val="false"/>
                <w:i w:val="false"/>
                <w:color w:val="000000"/>
                <w:sz w:val="20"/>
              </w:rPr>
              <w:t>
требование о возврате превышения НДС, указанное в декларации по НДС за налоговый период, в форме электронного документа – для возврата превышения НДС.</w:t>
            </w:r>
          </w:p>
          <w:p>
            <w:pPr>
              <w:spacing w:after="20"/>
              <w:ind w:left="20"/>
              <w:jc w:val="both"/>
            </w:pPr>
            <w:r>
              <w:rPr>
                <w:rFonts w:ascii="Times New Roman"/>
                <w:b w:val="false"/>
                <w:i w:val="false"/>
                <w:color w:val="000000"/>
                <w:sz w:val="20"/>
              </w:rPr>
              <w:t>
При обращении услугополучателя через портал и (или) ИС, услугополучателю направляется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содержащиеся в государственных ИС, работник услугодателя получает из соответствующих государственных ИС.</w:t>
            </w:r>
          </w:p>
          <w:p>
            <w:pPr>
              <w:spacing w:after="20"/>
              <w:ind w:left="20"/>
              <w:jc w:val="both"/>
            </w:pPr>
            <w:r>
              <w:rPr>
                <w:rFonts w:ascii="Times New Roman"/>
                <w:b w:val="false"/>
                <w:i w:val="false"/>
                <w:color w:val="000000"/>
                <w:sz w:val="20"/>
              </w:rPr>
              <w:t>
В случаях представления услугополучателем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заявления.</w:t>
            </w:r>
          </w:p>
          <w:p>
            <w:pPr>
              <w:spacing w:after="20"/>
              <w:ind w:left="20"/>
              <w:jc w:val="both"/>
            </w:pPr>
            <w:r>
              <w:rPr>
                <w:rFonts w:ascii="Times New Roman"/>
                <w:b w:val="false"/>
                <w:i w:val="false"/>
                <w:color w:val="000000"/>
                <w:sz w:val="20"/>
              </w:rPr>
              <w:t>
При представлении услугополучателем документов в электронном виде, обработка документов проводится автоматизированно. При этом, при представлении в электронном виде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При представлении услугополучателем на бумажном носителе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При отсутствии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p>
            <w:pPr>
              <w:spacing w:after="20"/>
              <w:ind w:left="20"/>
              <w:jc w:val="both"/>
            </w:pPr>
            <w:r>
              <w:rPr>
                <w:rFonts w:ascii="Times New Roman"/>
                <w:b w:val="false"/>
                <w:i w:val="false"/>
                <w:color w:val="000000"/>
                <w:sz w:val="20"/>
              </w:rPr>
              <w:t>
Срок приведения в соответствие указанных в уведомлении документов, представленных на бумажном носителе, составляет 2 (два) рабочих дня.</w:t>
            </w:r>
          </w:p>
          <w:p>
            <w:pPr>
              <w:spacing w:after="20"/>
              <w:ind w:left="20"/>
              <w:jc w:val="both"/>
            </w:pPr>
            <w:r>
              <w:rPr>
                <w:rFonts w:ascii="Times New Roman"/>
                <w:b w:val="false"/>
                <w:i w:val="false"/>
                <w:color w:val="000000"/>
                <w:sz w:val="20"/>
              </w:rPr>
              <w:t>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 если:</w:t>
            </w:r>
          </w:p>
          <w:p>
            <w:pPr>
              <w:spacing w:after="20"/>
              <w:ind w:left="20"/>
              <w:jc w:val="both"/>
            </w:pPr>
            <w:r>
              <w:rPr>
                <w:rFonts w:ascii="Times New Roman"/>
                <w:b w:val="false"/>
                <w:i w:val="false"/>
                <w:color w:val="000000"/>
                <w:sz w:val="20"/>
              </w:rPr>
              <w:t>
1) за получением государственной услуги обратился услугополучатель, осуществляющий расчеты с бюджетом в специальных налоговых режимах, установленных для субъектов малого бизнеса, крестьянских или фермерских хозяйств, юридических лиц – производителей сельскохозяйственной продукции, продукции аквакультуры (рыболовства) и сельских потребительских кооперативов;</w:t>
            </w:r>
          </w:p>
          <w:p>
            <w:pPr>
              <w:spacing w:after="20"/>
              <w:ind w:left="20"/>
              <w:jc w:val="both"/>
            </w:pPr>
            <w:r>
              <w:rPr>
                <w:rFonts w:ascii="Times New Roman"/>
                <w:b w:val="false"/>
                <w:i w:val="false"/>
                <w:color w:val="000000"/>
                <w:sz w:val="20"/>
              </w:rPr>
              <w:t xml:space="preserve">
2) услугополучателю за налоговые периоды, по которым он применял положения </w:t>
            </w:r>
            <w:r>
              <w:rPr>
                <w:rFonts w:ascii="Times New Roman"/>
                <w:b w:val="false"/>
                <w:i w:val="false"/>
                <w:color w:val="000000"/>
                <w:sz w:val="20"/>
              </w:rPr>
              <w:t>статьи 411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производители сельскохозяйственной продукции, продукции аквакультуры (рыбоводства), включая крестьянские или фермерские хозяйства, – по оборотам по реализации товаров, являющихся результатом осуществления деятельности по производству сельскохозяйственной продукции, продукции аквакультуры (рыбоводства), переработке указанной продукции собственного производства;</w:t>
            </w:r>
          </w:p>
          <w:p>
            <w:pPr>
              <w:spacing w:after="20"/>
              <w:ind w:left="20"/>
              <w:jc w:val="both"/>
            </w:pPr>
            <w:r>
              <w:rPr>
                <w:rFonts w:ascii="Times New Roman"/>
                <w:b w:val="false"/>
                <w:i w:val="false"/>
                <w:color w:val="000000"/>
                <w:sz w:val="20"/>
              </w:rPr>
              <w:t>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w:t>
            </w:r>
          </w:p>
          <w:p>
            <w:pPr>
              <w:spacing w:after="20"/>
              <w:ind w:left="20"/>
              <w:jc w:val="both"/>
            </w:pPr>
            <w:r>
              <w:rPr>
                <w:rFonts w:ascii="Times New Roman"/>
                <w:b w:val="false"/>
                <w:i w:val="false"/>
                <w:color w:val="000000"/>
                <w:sz w:val="20"/>
              </w:rPr>
              <w:t>
сельскохозяйственные кооперативы по оборотам по:</w:t>
            </w:r>
          </w:p>
          <w:p>
            <w:pPr>
              <w:spacing w:after="20"/>
              <w:ind w:left="20"/>
              <w:jc w:val="both"/>
            </w:pPr>
            <w:r>
              <w:rPr>
                <w:rFonts w:ascii="Times New Roman"/>
                <w:b w:val="false"/>
                <w:i w:val="false"/>
                <w:color w:val="000000"/>
                <w:sz w:val="20"/>
              </w:rPr>
              <w:t>
реализации сельскохозяйственной продукции, продукции аквакультуры (рыбоводства) собственного производства, а также произведенной членами такого кооператива;</w:t>
            </w:r>
          </w:p>
          <w:p>
            <w:pPr>
              <w:spacing w:after="20"/>
              <w:ind w:left="20"/>
              <w:jc w:val="both"/>
            </w:pPr>
            <w:r>
              <w:rPr>
                <w:rFonts w:ascii="Times New Roman"/>
                <w:b w:val="false"/>
                <w:i w:val="false"/>
                <w:color w:val="000000"/>
                <w:sz w:val="20"/>
              </w:rPr>
              <w:t>
реализации продукции, полученной в результате переработки сельскохозяйственной продукции, продукции аквакультуры (рыбоводства) собственного производства, приобретенной у отечественного производителя такой продукции и (или) произведенной членами такого кооператива;</w:t>
            </w:r>
          </w:p>
          <w:p>
            <w:pPr>
              <w:spacing w:after="20"/>
              <w:ind w:left="20"/>
              <w:jc w:val="both"/>
            </w:pPr>
            <w:r>
              <w:rPr>
                <w:rFonts w:ascii="Times New Roman"/>
                <w:b w:val="false"/>
                <w:i w:val="false"/>
                <w:color w:val="000000"/>
                <w:sz w:val="20"/>
              </w:rPr>
              <w:t xml:space="preserve">
выполнению работ, оказанию услуг по перечню, утвержденному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27 февраля 2018 года № 90 "Об утверждении перечня выполняемых работ и (или) оказываемых услуг сельскохозяйственными кооперативами своим членам в целях осуществления ими оборотов" (зарегистрирован в Реестре государственной регистрации нормативных правовых актов под № 16610), членам такого кооператива в целях осуществления ими оборотов, указанных в настоящем подпункте согласно </w:t>
            </w:r>
            <w:r>
              <w:rPr>
                <w:rFonts w:ascii="Times New Roman"/>
                <w:b w:val="false"/>
                <w:i w:val="false"/>
                <w:color w:val="000000"/>
                <w:sz w:val="20"/>
              </w:rPr>
              <w:t>подпункту 3</w:t>
            </w:r>
            <w:r>
              <w:rPr>
                <w:rFonts w:ascii="Times New Roman"/>
                <w:b w:val="false"/>
                <w:i w:val="false"/>
                <w:color w:val="000000"/>
                <w:sz w:val="20"/>
              </w:rPr>
              <w:t xml:space="preserve"> пункта 1 статьи 411 Налогового кодекса;</w:t>
            </w:r>
          </w:p>
          <w:p>
            <w:pPr>
              <w:spacing w:after="20"/>
              <w:ind w:left="20"/>
              <w:jc w:val="both"/>
            </w:pPr>
            <w:r>
              <w:rPr>
                <w:rFonts w:ascii="Times New Roman"/>
                <w:b w:val="false"/>
                <w:i w:val="false"/>
                <w:color w:val="000000"/>
                <w:sz w:val="20"/>
              </w:rPr>
              <w:t>
3) на дату завершения налоговой проверки:</w:t>
            </w:r>
          </w:p>
          <w:p>
            <w:pPr>
              <w:spacing w:after="20"/>
              <w:ind w:left="20"/>
              <w:jc w:val="both"/>
            </w:pPr>
            <w:r>
              <w:rPr>
                <w:rFonts w:ascii="Times New Roman"/>
                <w:b w:val="false"/>
                <w:i w:val="false"/>
                <w:color w:val="000000"/>
                <w:sz w:val="20"/>
              </w:rPr>
              <w:t>
не получены ответы на запросы на проведение встречных проверок для подтверждения достоверности взаиморасчетов с поставщиком;</w:t>
            </w:r>
          </w:p>
          <w:p>
            <w:pPr>
              <w:spacing w:after="20"/>
              <w:ind w:left="20"/>
              <w:jc w:val="both"/>
            </w:pPr>
            <w:r>
              <w:rPr>
                <w:rFonts w:ascii="Times New Roman"/>
                <w:b w:val="false"/>
                <w:i w:val="false"/>
                <w:color w:val="000000"/>
                <w:sz w:val="20"/>
              </w:rPr>
              <w:t>
по поставщикам проверяемого налогоплательщика выявлены нарушения по результатам анализа аналитического отчета "Пирамида";</w:t>
            </w:r>
          </w:p>
          <w:p>
            <w:pPr>
              <w:spacing w:after="20"/>
              <w:ind w:left="20"/>
              <w:jc w:val="both"/>
            </w:pPr>
            <w:r>
              <w:rPr>
                <w:rFonts w:ascii="Times New Roman"/>
                <w:b w:val="false"/>
                <w:i w:val="false"/>
                <w:color w:val="000000"/>
                <w:sz w:val="20"/>
              </w:rPr>
              <w:t>
не подтверждена достоверность сумм НДС;</w:t>
            </w:r>
          </w:p>
          <w:p>
            <w:pPr>
              <w:spacing w:after="20"/>
              <w:ind w:left="20"/>
              <w:jc w:val="both"/>
            </w:pPr>
            <w:r>
              <w:rPr>
                <w:rFonts w:ascii="Times New Roman"/>
                <w:b w:val="false"/>
                <w:i w:val="false"/>
                <w:color w:val="000000"/>
                <w:sz w:val="20"/>
              </w:rPr>
              <w:t>
не подтверждена достоверность сумм НДС в связи с невозможностью проведения встречной проверки, в том числе по причине:</w:t>
            </w:r>
          </w:p>
          <w:p>
            <w:pPr>
              <w:spacing w:after="20"/>
              <w:ind w:left="20"/>
              <w:jc w:val="both"/>
            </w:pPr>
            <w:r>
              <w:rPr>
                <w:rFonts w:ascii="Times New Roman"/>
                <w:b w:val="false"/>
                <w:i w:val="false"/>
                <w:color w:val="000000"/>
                <w:sz w:val="20"/>
              </w:rPr>
              <w:t>
отсутствия поставщика по месту нахождения;</w:t>
            </w:r>
          </w:p>
          <w:p>
            <w:pPr>
              <w:spacing w:after="20"/>
              <w:ind w:left="20"/>
              <w:jc w:val="both"/>
            </w:pPr>
            <w:r>
              <w:rPr>
                <w:rFonts w:ascii="Times New Roman"/>
                <w:b w:val="false"/>
                <w:i w:val="false"/>
                <w:color w:val="000000"/>
                <w:sz w:val="20"/>
              </w:rPr>
              <w:t>
утраты учетной документации поставщика.</w:t>
            </w:r>
          </w:p>
          <w:p>
            <w:pPr>
              <w:spacing w:after="20"/>
              <w:ind w:left="20"/>
              <w:jc w:val="both"/>
            </w:pPr>
            <w:r>
              <w:rPr>
                <w:rFonts w:ascii="Times New Roman"/>
                <w:b w:val="false"/>
                <w:i w:val="false"/>
                <w:color w:val="000000"/>
                <w:sz w:val="20"/>
              </w:rPr>
              <w:t>
При этом положения части третьи подпункта 3) настоящего пункта не применяются при устранении нарушений, выявленных по результатам аналитического отчета "Пирамида", непосредственными поставщиками следующих проверяемых налогоплательщиков:</w:t>
            </w:r>
          </w:p>
          <w:p>
            <w:pPr>
              <w:spacing w:after="20"/>
              <w:ind w:left="20"/>
              <w:jc w:val="both"/>
            </w:pPr>
            <w:r>
              <w:rPr>
                <w:rFonts w:ascii="Times New Roman"/>
                <w:b w:val="false"/>
                <w:i w:val="false"/>
                <w:color w:val="000000"/>
                <w:sz w:val="20"/>
              </w:rPr>
              <w:t>
имеющих право на применение упрощенного порядка возврата суммы превышения НДС;</w:t>
            </w:r>
          </w:p>
          <w:p>
            <w:pPr>
              <w:spacing w:after="20"/>
              <w:ind w:left="20"/>
              <w:jc w:val="both"/>
            </w:pPr>
            <w:r>
              <w:rPr>
                <w:rFonts w:ascii="Times New Roman"/>
                <w:b w:val="false"/>
                <w:i w:val="false"/>
                <w:color w:val="000000"/>
                <w:sz w:val="20"/>
              </w:rPr>
              <w:t xml:space="preserve">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согласно </w:t>
            </w:r>
            <w:r>
              <w:rPr>
                <w:rFonts w:ascii="Times New Roman"/>
                <w:b w:val="false"/>
                <w:i w:val="false"/>
                <w:color w:val="000000"/>
                <w:sz w:val="20"/>
              </w:rPr>
              <w:t>пункту 12</w:t>
            </w:r>
            <w:r>
              <w:rPr>
                <w:rFonts w:ascii="Times New Roman"/>
                <w:b w:val="false"/>
                <w:i w:val="false"/>
                <w:color w:val="000000"/>
                <w:sz w:val="20"/>
              </w:rPr>
              <w:t xml:space="preserve"> статьи 152 Налогового кодекса;</w:t>
            </w:r>
          </w:p>
          <w:p>
            <w:pPr>
              <w:spacing w:after="20"/>
              <w:ind w:left="20"/>
              <w:jc w:val="both"/>
            </w:pPr>
            <w:r>
              <w:rPr>
                <w:rFonts w:ascii="Times New Roman"/>
                <w:b w:val="false"/>
                <w:i w:val="false"/>
                <w:color w:val="000000"/>
                <w:sz w:val="20"/>
              </w:rPr>
              <w:t>
осуществляющих деятельность в рамках контракта на недропользование, заключенного в соответствии с законодательством Республики Казахстан, и имеющих средний коэффициент налоговой нагрузки не менее 20 процентов, рассчитанный за последние 5 лет, предшествующих налоговому периоду, в котором предъявлено требование о возврате суммы превышения НДС;</w:t>
            </w:r>
          </w:p>
          <w:p>
            <w:pPr>
              <w:spacing w:after="20"/>
              <w:ind w:left="20"/>
              <w:jc w:val="both"/>
            </w:pPr>
            <w:r>
              <w:rPr>
                <w:rFonts w:ascii="Times New Roman"/>
                <w:b w:val="false"/>
                <w:i w:val="false"/>
                <w:color w:val="000000"/>
                <w:sz w:val="20"/>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0"/>
              </w:rPr>
              <w:t>пункте 1</w:t>
            </w:r>
            <w:r>
              <w:rPr>
                <w:rFonts w:ascii="Times New Roman"/>
                <w:b w:val="false"/>
                <w:i w:val="false"/>
                <w:color w:val="000000"/>
                <w:sz w:val="20"/>
              </w:rPr>
              <w:t xml:space="preserve"> статьи 722 Налогового кодекса.</w:t>
            </w:r>
          </w:p>
          <w:p>
            <w:pPr>
              <w:spacing w:after="20"/>
              <w:ind w:left="20"/>
              <w:jc w:val="both"/>
            </w:pPr>
            <w:r>
              <w:rPr>
                <w:rFonts w:ascii="Times New Roman"/>
                <w:b w:val="false"/>
                <w:i w:val="false"/>
                <w:color w:val="000000"/>
                <w:sz w:val="20"/>
              </w:rPr>
              <w:t>
В акте налоговой проверки указывается основание невозврата НДС.</w:t>
            </w:r>
          </w:p>
          <w:p>
            <w:pPr>
              <w:spacing w:after="20"/>
              <w:ind w:left="20"/>
              <w:jc w:val="both"/>
            </w:pPr>
            <w:r>
              <w:rPr>
                <w:rFonts w:ascii="Times New Roman"/>
                <w:b w:val="false"/>
                <w:i w:val="false"/>
                <w:color w:val="000000"/>
                <w:sz w:val="20"/>
              </w:rPr>
              <w:t>
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20"/>
              <w:ind w:left="20"/>
              <w:jc w:val="both"/>
            </w:pPr>
            <w:r>
              <w:rPr>
                <w:rFonts w:ascii="Times New Roman"/>
                <w:b w:val="false"/>
                <w:i w:val="false"/>
                <w:color w:val="000000"/>
                <w:sz w:val="20"/>
              </w:rPr>
              <w:t>
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20"/>
              <w:ind w:left="20"/>
              <w:jc w:val="both"/>
            </w:pPr>
            <w:r>
              <w:rPr>
                <w:rFonts w:ascii="Times New Roman"/>
                <w:b w:val="false"/>
                <w:i w:val="false"/>
                <w:color w:val="000000"/>
                <w:sz w:val="20"/>
              </w:rPr>
              <w:t>
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При этом при ходатайстве услугополучателя, представившего документы на бумажном носителе, процедура заслушивания может не проводится.</w:t>
            </w:r>
          </w:p>
          <w:p>
            <w:pPr>
              <w:spacing w:after="20"/>
              <w:ind w:left="20"/>
              <w:jc w:val="both"/>
            </w:pPr>
            <w:r>
              <w:rPr>
                <w:rFonts w:ascii="Times New Roman"/>
                <w:b w:val="false"/>
                <w:i w:val="false"/>
                <w:color w:val="000000"/>
                <w:sz w:val="20"/>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 для дальнейшей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 www.kgd.gov.kz, www.minfin.gov.kz;</w:t>
            </w:r>
          </w:p>
          <w:p>
            <w:pPr>
              <w:spacing w:after="20"/>
              <w:ind w:left="20"/>
              <w:jc w:val="both"/>
            </w:pPr>
            <w:r>
              <w:rPr>
                <w:rFonts w:ascii="Times New Roman"/>
                <w:b w:val="false"/>
                <w:i w:val="false"/>
                <w:color w:val="000000"/>
                <w:sz w:val="20"/>
              </w:rPr>
              <w:t>
2) портале www.egov.kz.</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портала и (или) ИС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w:t>
            </w:r>
          </w:p>
          <w:p>
            <w:pPr>
              <w:spacing w:after="20"/>
              <w:ind w:left="20"/>
              <w:jc w:val="both"/>
            </w:pPr>
            <w:r>
              <w:rPr>
                <w:rFonts w:ascii="Times New Roman"/>
                <w:b w:val="false"/>
                <w:i w:val="false"/>
                <w:color w:val="000000"/>
                <w:sz w:val="20"/>
              </w:rPr>
              <w:t>
Контактные телефоны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