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aa0bf" w14:textId="dcaa0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и использования параметров трансформирования и преобразования между государственной, международными, местными координатными системами отсчета</w:t>
      </w:r>
    </w:p>
    <w:p>
      <w:pPr>
        <w:spacing w:after="0"/>
        <w:ind w:left="0"/>
        <w:jc w:val="both"/>
      </w:pPr>
      <w:r>
        <w:rPr>
          <w:rFonts w:ascii="Times New Roman"/>
          <w:b w:val="false"/>
          <w:i w:val="false"/>
          <w:color w:val="000000"/>
          <w:sz w:val="28"/>
        </w:rPr>
        <w:t>Приказ и.о. Министра цифрового развития, инноваций и аэрокосмической промышленности Республики Казахстан от 10 марта 2023 года № 84/НҚ. Зарегистрирован в Министерстве юстиции Республики Казахстан 16 марта 2023 года № 32085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24)</w:t>
      </w:r>
      <w:r>
        <w:rPr>
          <w:rFonts w:ascii="Times New Roman"/>
          <w:b w:val="false"/>
          <w:i w:val="false"/>
          <w:color w:val="000000"/>
          <w:sz w:val="28"/>
        </w:rPr>
        <w:t xml:space="preserve"> статьи 13 Закона Республики Казахстан "О геодезии, картографии и пространственных данных",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определения и использования параметров трансформирования и преобразования между государственной, международными, местными координатными системами отсчета.</w:t>
      </w:r>
    </w:p>
    <w:bookmarkEnd w:id="1"/>
    <w:bookmarkStart w:name="z6" w:id="2"/>
    <w:p>
      <w:pPr>
        <w:spacing w:after="0"/>
        <w:ind w:left="0"/>
        <w:jc w:val="both"/>
      </w:pPr>
      <w:r>
        <w:rPr>
          <w:rFonts w:ascii="Times New Roman"/>
          <w:b w:val="false"/>
          <w:i w:val="false"/>
          <w:color w:val="000000"/>
          <w:sz w:val="28"/>
        </w:rPr>
        <w:t>
      2. Комитету геодезии и картографии Министерства цифрового развития, инноваций и аэрокосмической промышленности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 цифрового развития, инноваций</w:t>
            </w:r>
          </w:p>
          <w:p>
            <w:pPr>
              <w:spacing w:after="20"/>
              <w:ind w:left="20"/>
              <w:jc w:val="both"/>
            </w:pPr>
          </w:p>
          <w:p>
            <w:pPr>
              <w:spacing w:after="20"/>
              <w:ind w:left="20"/>
              <w:jc w:val="both"/>
            </w:pPr>
            <w:r>
              <w:rPr>
                <w:rFonts w:ascii="Times New Roman"/>
                <w:b w:val="false"/>
                <w:i/>
                <w:color w:val="000000"/>
                <w:sz w:val="20"/>
              </w:rPr>
              <w:t>и аэрокосмической промышленности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Турысов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И.о. министра</w:t>
            </w:r>
            <w:r>
              <w:br/>
            </w:r>
            <w:r>
              <w:rPr>
                <w:rFonts w:ascii="Times New Roman"/>
                <w:b w:val="false"/>
                <w:i w:val="false"/>
                <w:color w:val="000000"/>
                <w:sz w:val="20"/>
              </w:rPr>
              <w:t>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марта 2023 года № 84/НҚ</w:t>
            </w:r>
          </w:p>
        </w:tc>
      </w:tr>
    </w:tbl>
    <w:bookmarkStart w:name="z18" w:id="12"/>
    <w:p>
      <w:pPr>
        <w:spacing w:after="0"/>
        <w:ind w:left="0"/>
        <w:jc w:val="left"/>
      </w:pPr>
      <w:r>
        <w:rPr>
          <w:rFonts w:ascii="Times New Roman"/>
          <w:b/>
          <w:i w:val="false"/>
          <w:color w:val="000000"/>
        </w:rPr>
        <w:t xml:space="preserve"> Правила определения и использования параметров трансформирования и преобразования между государственной, международными, местными координатными системами отсчета</w:t>
      </w:r>
    </w:p>
    <w:bookmarkEnd w:id="12"/>
    <w:bookmarkStart w:name="z19" w:id="13"/>
    <w:p>
      <w:pPr>
        <w:spacing w:after="0"/>
        <w:ind w:left="0"/>
        <w:jc w:val="left"/>
      </w:pPr>
      <w:r>
        <w:rPr>
          <w:rFonts w:ascii="Times New Roman"/>
          <w:b/>
          <w:i w:val="false"/>
          <w:color w:val="000000"/>
        </w:rPr>
        <w:t xml:space="preserve"> Глава 1. Общее положения</w:t>
      </w:r>
    </w:p>
    <w:bookmarkEnd w:id="13"/>
    <w:bookmarkStart w:name="z20" w:id="14"/>
    <w:p>
      <w:pPr>
        <w:spacing w:after="0"/>
        <w:ind w:left="0"/>
        <w:jc w:val="both"/>
      </w:pPr>
      <w:r>
        <w:rPr>
          <w:rFonts w:ascii="Times New Roman"/>
          <w:b w:val="false"/>
          <w:i w:val="false"/>
          <w:color w:val="000000"/>
          <w:sz w:val="28"/>
        </w:rPr>
        <w:t xml:space="preserve">
      1. Настоящие Правила определения и использования параметров трансформирования и преобразования между государственной, международными, местными координатными системами отсчета (далее – Правила) разработаны в соответствии с </w:t>
      </w:r>
      <w:r>
        <w:rPr>
          <w:rFonts w:ascii="Times New Roman"/>
          <w:b w:val="false"/>
          <w:i w:val="false"/>
          <w:color w:val="000000"/>
          <w:sz w:val="28"/>
        </w:rPr>
        <w:t>подпунктом 24)</w:t>
      </w:r>
      <w:r>
        <w:rPr>
          <w:rFonts w:ascii="Times New Roman"/>
          <w:b w:val="false"/>
          <w:i w:val="false"/>
          <w:color w:val="000000"/>
          <w:sz w:val="28"/>
        </w:rPr>
        <w:t xml:space="preserve"> статьи 13 Закона Республики Казахстан "О геодезии, картографии и пространственных данных" (далее – Закон) и определяет порядок использования параметров трансформирования и преобразования между государственной, международными, местными координатными системами отсчета.</w:t>
      </w:r>
    </w:p>
    <w:bookmarkEnd w:id="14"/>
    <w:bookmarkStart w:name="z21" w:id="15"/>
    <w:p>
      <w:pPr>
        <w:spacing w:after="0"/>
        <w:ind w:left="0"/>
        <w:jc w:val="both"/>
      </w:pPr>
      <w:r>
        <w:rPr>
          <w:rFonts w:ascii="Times New Roman"/>
          <w:b w:val="false"/>
          <w:i w:val="false"/>
          <w:color w:val="000000"/>
          <w:sz w:val="28"/>
        </w:rPr>
        <w:t>
      2. Субъекты геодезической и картографической деятельности обязаны применять утвержденные параметры преобразования между государственной и местными координатными системами отсчета.</w:t>
      </w:r>
    </w:p>
    <w:bookmarkEnd w:id="15"/>
    <w:bookmarkStart w:name="z22" w:id="16"/>
    <w:p>
      <w:pPr>
        <w:spacing w:after="0"/>
        <w:ind w:left="0"/>
        <w:jc w:val="both"/>
      </w:pPr>
      <w:r>
        <w:rPr>
          <w:rFonts w:ascii="Times New Roman"/>
          <w:b w:val="false"/>
          <w:i w:val="false"/>
          <w:color w:val="000000"/>
          <w:sz w:val="28"/>
        </w:rPr>
        <w:t xml:space="preserve">
      Осуществление перевода пространственных данных и картографических материалов центральных государственных и местных исполнительных органов из предшествующих государственной и местных систем координат во вновь принимаемые координатные системы отсчета выполняется владельцами пространственных данных и картографических материалов,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17 Закона.</w:t>
      </w:r>
    </w:p>
    <w:bookmarkEnd w:id="16"/>
    <w:bookmarkStart w:name="z23" w:id="17"/>
    <w:p>
      <w:pPr>
        <w:spacing w:after="0"/>
        <w:ind w:left="0"/>
        <w:jc w:val="both"/>
      </w:pPr>
      <w:r>
        <w:rPr>
          <w:rFonts w:ascii="Times New Roman"/>
          <w:b w:val="false"/>
          <w:i w:val="false"/>
          <w:color w:val="000000"/>
          <w:sz w:val="28"/>
        </w:rPr>
        <w:t>
      3. В настоящих Правилах используется следующие основные понятия:</w:t>
      </w:r>
    </w:p>
    <w:bookmarkEnd w:id="17"/>
    <w:bookmarkStart w:name="z24" w:id="18"/>
    <w:p>
      <w:pPr>
        <w:spacing w:after="0"/>
        <w:ind w:left="0"/>
        <w:jc w:val="both"/>
      </w:pPr>
      <w:r>
        <w:rPr>
          <w:rFonts w:ascii="Times New Roman"/>
          <w:b w:val="false"/>
          <w:i w:val="false"/>
          <w:color w:val="000000"/>
          <w:sz w:val="28"/>
        </w:rPr>
        <w:t>
      1) геодезическая высота – высота точки над поверхностью отсчетного эллипсоида, отсчитываемая по нормали к эллипсоиду;</w:t>
      </w:r>
    </w:p>
    <w:bookmarkEnd w:id="18"/>
    <w:bookmarkStart w:name="z25" w:id="19"/>
    <w:p>
      <w:pPr>
        <w:spacing w:after="0"/>
        <w:ind w:left="0"/>
        <w:jc w:val="both"/>
      </w:pPr>
      <w:r>
        <w:rPr>
          <w:rFonts w:ascii="Times New Roman"/>
          <w:b w:val="false"/>
          <w:i w:val="false"/>
          <w:color w:val="000000"/>
          <w:sz w:val="28"/>
        </w:rPr>
        <w:t>
      2) геодезический пункт – инженерная конструкция, закрепляющая точку земной поверхности с определенными координатами и (или) высотами, и (или) значениями силы тяжести;</w:t>
      </w:r>
    </w:p>
    <w:bookmarkEnd w:id="19"/>
    <w:bookmarkStart w:name="z26" w:id="20"/>
    <w:p>
      <w:pPr>
        <w:spacing w:after="0"/>
        <w:ind w:left="0"/>
        <w:jc w:val="both"/>
      </w:pPr>
      <w:r>
        <w:rPr>
          <w:rFonts w:ascii="Times New Roman"/>
          <w:b w:val="false"/>
          <w:i w:val="false"/>
          <w:color w:val="000000"/>
          <w:sz w:val="28"/>
        </w:rPr>
        <w:t>
      3) марка центра геодезического пункта – деталь центра геодезического пункта, имеющая метку, к которой относят его координаты;</w:t>
      </w:r>
    </w:p>
    <w:bookmarkEnd w:id="20"/>
    <w:bookmarkStart w:name="z27" w:id="21"/>
    <w:p>
      <w:pPr>
        <w:spacing w:after="0"/>
        <w:ind w:left="0"/>
        <w:jc w:val="both"/>
      </w:pPr>
      <w:r>
        <w:rPr>
          <w:rFonts w:ascii="Times New Roman"/>
          <w:b w:val="false"/>
          <w:i w:val="false"/>
          <w:color w:val="000000"/>
          <w:sz w:val="28"/>
        </w:rPr>
        <w:t>
      4) высокоточная геодезическая сеть (далее – ВГС) – спутниковая геодезическая сеть со средним расстоянием между смежными геодезическими пунктами 150-300 километров, пространственные координаты которых определяются относительно пунктов фундаментальной астрономо-геодезической сети;</w:t>
      </w:r>
    </w:p>
    <w:bookmarkEnd w:id="21"/>
    <w:bookmarkStart w:name="z28" w:id="22"/>
    <w:p>
      <w:pPr>
        <w:spacing w:after="0"/>
        <w:ind w:left="0"/>
        <w:jc w:val="both"/>
      </w:pPr>
      <w:r>
        <w:rPr>
          <w:rFonts w:ascii="Times New Roman"/>
          <w:b w:val="false"/>
          <w:i w:val="false"/>
          <w:color w:val="000000"/>
          <w:sz w:val="28"/>
        </w:rPr>
        <w:t>
      5) эпоха – индивидуальный фиксированный момент времени, используемый как опорная точка на шкале времени</w:t>
      </w:r>
    </w:p>
    <w:bookmarkEnd w:id="22"/>
    <w:bookmarkStart w:name="z29" w:id="23"/>
    <w:p>
      <w:pPr>
        <w:spacing w:after="0"/>
        <w:ind w:left="0"/>
        <w:jc w:val="both"/>
      </w:pPr>
      <w:r>
        <w:rPr>
          <w:rFonts w:ascii="Times New Roman"/>
          <w:b w:val="false"/>
          <w:i w:val="false"/>
          <w:color w:val="000000"/>
          <w:sz w:val="28"/>
        </w:rPr>
        <w:t>
      6) глобальные навигационные спутниковые системы (далее – ГНСС) – космические системы, предназначенные для определения координатно-временных параметров (географических координат и высот, скорости и направления движения, времени) наземных, водных и воздушных объектов;</w:t>
      </w:r>
    </w:p>
    <w:bookmarkEnd w:id="23"/>
    <w:bookmarkStart w:name="z30" w:id="24"/>
    <w:p>
      <w:pPr>
        <w:spacing w:after="0"/>
        <w:ind w:left="0"/>
        <w:jc w:val="both"/>
      </w:pPr>
      <w:r>
        <w:rPr>
          <w:rFonts w:ascii="Times New Roman"/>
          <w:b w:val="false"/>
          <w:i w:val="false"/>
          <w:color w:val="000000"/>
          <w:sz w:val="28"/>
        </w:rPr>
        <w:t>
      7) местная координатная система отсчета (далее – МГСО) – координатная система отсчета проекции, устанавливаемая в отношении ограниченной территории;</w:t>
      </w:r>
    </w:p>
    <w:bookmarkEnd w:id="24"/>
    <w:bookmarkStart w:name="z31" w:id="25"/>
    <w:p>
      <w:pPr>
        <w:spacing w:after="0"/>
        <w:ind w:left="0"/>
        <w:jc w:val="both"/>
      </w:pPr>
      <w:r>
        <w:rPr>
          <w:rFonts w:ascii="Times New Roman"/>
          <w:b w:val="false"/>
          <w:i w:val="false"/>
          <w:color w:val="000000"/>
          <w:sz w:val="28"/>
        </w:rPr>
        <w:t>
      8) эфемериды спутников – параметры орбиты и ухода часов конкретного спутника, позволяющие определить его местоположение в зависимости от времени;</w:t>
      </w:r>
    </w:p>
    <w:bookmarkEnd w:id="25"/>
    <w:bookmarkStart w:name="z32" w:id="26"/>
    <w:p>
      <w:pPr>
        <w:spacing w:after="0"/>
        <w:ind w:left="0"/>
        <w:jc w:val="both"/>
      </w:pPr>
      <w:r>
        <w:rPr>
          <w:rFonts w:ascii="Times New Roman"/>
          <w:b w:val="false"/>
          <w:i w:val="false"/>
          <w:color w:val="000000"/>
          <w:sz w:val="28"/>
        </w:rPr>
        <w:t>
      9) ионосферная задержка – изменение скорости (задержка) распространения электромагнитного излучения, распространяющегося от спутника к приемнику при прохождении ионосферы (ионизированной части атмосферы);</w:t>
      </w:r>
    </w:p>
    <w:bookmarkEnd w:id="26"/>
    <w:bookmarkStart w:name="z33" w:id="27"/>
    <w:p>
      <w:pPr>
        <w:spacing w:after="0"/>
        <w:ind w:left="0"/>
        <w:jc w:val="both"/>
      </w:pPr>
      <w:r>
        <w:rPr>
          <w:rFonts w:ascii="Times New Roman"/>
          <w:b w:val="false"/>
          <w:i w:val="false"/>
          <w:color w:val="000000"/>
          <w:sz w:val="28"/>
        </w:rPr>
        <w:t>
      10) параметры трансформирования координат – параметры, с помощью которых выполняется преобразование координат одной координатной системы отсчета, связанной с одним датумом, в другую координатную систему отсчета с другим датумом;</w:t>
      </w:r>
    </w:p>
    <w:bookmarkEnd w:id="27"/>
    <w:bookmarkStart w:name="z34" w:id="28"/>
    <w:p>
      <w:pPr>
        <w:spacing w:after="0"/>
        <w:ind w:left="0"/>
        <w:jc w:val="both"/>
      </w:pPr>
      <w:r>
        <w:rPr>
          <w:rFonts w:ascii="Times New Roman"/>
          <w:b w:val="false"/>
          <w:i w:val="false"/>
          <w:color w:val="000000"/>
          <w:sz w:val="28"/>
        </w:rPr>
        <w:t>
      11) государственная геодезическая сеть (далее – ГГС) – геодезическая сеть, используемая в целях установления и (или) распространения государственной координатной системы отсчета;</w:t>
      </w:r>
    </w:p>
    <w:bookmarkEnd w:id="28"/>
    <w:bookmarkStart w:name="z35" w:id="29"/>
    <w:p>
      <w:pPr>
        <w:spacing w:after="0"/>
        <w:ind w:left="0"/>
        <w:jc w:val="both"/>
      </w:pPr>
      <w:r>
        <w:rPr>
          <w:rFonts w:ascii="Times New Roman"/>
          <w:b w:val="false"/>
          <w:i w:val="false"/>
          <w:color w:val="000000"/>
          <w:sz w:val="28"/>
        </w:rPr>
        <w:t>
      12) государственная система отсчета – совокупность государственных координатных, высотных и гравиметрических систем отсчета;</w:t>
      </w:r>
    </w:p>
    <w:bookmarkEnd w:id="29"/>
    <w:bookmarkStart w:name="z36" w:id="30"/>
    <w:p>
      <w:pPr>
        <w:spacing w:after="0"/>
        <w:ind w:left="0"/>
        <w:jc w:val="both"/>
      </w:pPr>
      <w:r>
        <w:rPr>
          <w:rFonts w:ascii="Times New Roman"/>
          <w:b w:val="false"/>
          <w:i w:val="false"/>
          <w:color w:val="000000"/>
          <w:sz w:val="28"/>
        </w:rPr>
        <w:t>
      13) нивелирная сеть – совокупность геодезических пунктов, высоты которых определены в общей для них системе отсчета высот;</w:t>
      </w:r>
    </w:p>
    <w:bookmarkEnd w:id="30"/>
    <w:bookmarkStart w:name="z37" w:id="31"/>
    <w:p>
      <w:pPr>
        <w:spacing w:after="0"/>
        <w:ind w:left="0"/>
        <w:jc w:val="both"/>
      </w:pPr>
      <w:r>
        <w:rPr>
          <w:rFonts w:ascii="Times New Roman"/>
          <w:b w:val="false"/>
          <w:i w:val="false"/>
          <w:color w:val="000000"/>
          <w:sz w:val="28"/>
        </w:rPr>
        <w:t>
      14) тропосферная задержка – изменение скорости (задержка) распространения электромагнитного излучения, распространяющегося от спутника к приемнику при прохождении тропосферы (неионизированной части атмосферы);</w:t>
      </w:r>
    </w:p>
    <w:bookmarkEnd w:id="31"/>
    <w:bookmarkStart w:name="z38" w:id="32"/>
    <w:p>
      <w:pPr>
        <w:spacing w:after="0"/>
        <w:ind w:left="0"/>
        <w:jc w:val="both"/>
      </w:pPr>
      <w:r>
        <w:rPr>
          <w:rFonts w:ascii="Times New Roman"/>
          <w:b w:val="false"/>
          <w:i w:val="false"/>
          <w:color w:val="000000"/>
          <w:sz w:val="28"/>
        </w:rPr>
        <w:t>
      15) Национальный фонд пространственных данных – совокупность пространственных данных в цифровом и (или) аналоговом виде, подлежащих учету, длительному хранению в целях их дальнейшего использования субъектами геодезической и картографической деятельности, имеющая общегосударственное, межотраслевое значение, специальное и (или) отраслевое значение;</w:t>
      </w:r>
    </w:p>
    <w:bookmarkEnd w:id="32"/>
    <w:bookmarkStart w:name="z39" w:id="33"/>
    <w:p>
      <w:pPr>
        <w:spacing w:after="0"/>
        <w:ind w:left="0"/>
        <w:jc w:val="both"/>
      </w:pPr>
      <w:r>
        <w:rPr>
          <w:rFonts w:ascii="Times New Roman"/>
          <w:b w:val="false"/>
          <w:i w:val="false"/>
          <w:color w:val="000000"/>
          <w:sz w:val="28"/>
        </w:rPr>
        <w:t>
      16) фундаментальная астрономо-геодезическая сеть (далее – ФАГС) – сеть геодезических пунктов со средним расстоянием между смежными геодезическими пунктами 650-1000 километров, координаты которых определяются в геоцентрической пространственной системе координат;</w:t>
      </w:r>
    </w:p>
    <w:bookmarkEnd w:id="33"/>
    <w:bookmarkStart w:name="z40" w:id="34"/>
    <w:p>
      <w:pPr>
        <w:spacing w:after="0"/>
        <w:ind w:left="0"/>
        <w:jc w:val="both"/>
      </w:pPr>
      <w:r>
        <w:rPr>
          <w:rFonts w:ascii="Times New Roman"/>
          <w:b w:val="false"/>
          <w:i w:val="false"/>
          <w:color w:val="000000"/>
          <w:sz w:val="28"/>
        </w:rPr>
        <w:t>
      17) формат RINEX – формат обмена данными для файлов исходных данных спутниковых навигационных приҰмников.</w:t>
      </w:r>
    </w:p>
    <w:bookmarkEnd w:id="34"/>
    <w:bookmarkStart w:name="z41" w:id="35"/>
    <w:p>
      <w:pPr>
        <w:spacing w:after="0"/>
        <w:ind w:left="0"/>
        <w:jc w:val="left"/>
      </w:pPr>
      <w:r>
        <w:rPr>
          <w:rFonts w:ascii="Times New Roman"/>
          <w:b/>
          <w:i w:val="false"/>
          <w:color w:val="000000"/>
        </w:rPr>
        <w:t xml:space="preserve"> Глава 2. Порядок определения параметров трансформирования и преобразования между государственной, международными, местными координатными системами отсчета</w:t>
      </w:r>
    </w:p>
    <w:bookmarkEnd w:id="35"/>
    <w:bookmarkStart w:name="z42" w:id="36"/>
    <w:p>
      <w:pPr>
        <w:spacing w:after="0"/>
        <w:ind w:left="0"/>
        <w:jc w:val="both"/>
      </w:pPr>
      <w:r>
        <w:rPr>
          <w:rFonts w:ascii="Times New Roman"/>
          <w:b w:val="false"/>
          <w:i w:val="false"/>
          <w:color w:val="000000"/>
          <w:sz w:val="28"/>
        </w:rPr>
        <w:t>
      4. Параметры трансформирования и преобразования между государственной, международными, местными координатными системами отсчета предоставляются Национальным фондом пространственных данных.</w:t>
      </w:r>
    </w:p>
    <w:bookmarkEnd w:id="36"/>
    <w:bookmarkStart w:name="z43" w:id="37"/>
    <w:p>
      <w:pPr>
        <w:spacing w:after="0"/>
        <w:ind w:left="0"/>
        <w:jc w:val="both"/>
      </w:pPr>
      <w:r>
        <w:rPr>
          <w:rFonts w:ascii="Times New Roman"/>
          <w:b w:val="false"/>
          <w:i w:val="false"/>
          <w:color w:val="000000"/>
          <w:sz w:val="28"/>
        </w:rPr>
        <w:t>
      5. Технология выполнения работ по определению параметров включает следующие этапы:</w:t>
      </w:r>
    </w:p>
    <w:bookmarkEnd w:id="37"/>
    <w:bookmarkStart w:name="z44" w:id="38"/>
    <w:p>
      <w:pPr>
        <w:spacing w:after="0"/>
        <w:ind w:left="0"/>
        <w:jc w:val="both"/>
      </w:pPr>
      <w:r>
        <w:rPr>
          <w:rFonts w:ascii="Times New Roman"/>
          <w:b w:val="false"/>
          <w:i w:val="false"/>
          <w:color w:val="000000"/>
          <w:sz w:val="28"/>
        </w:rPr>
        <w:t>
      1) сбор и систематизация материалов геодезической изученности;</w:t>
      </w:r>
    </w:p>
    <w:bookmarkEnd w:id="38"/>
    <w:bookmarkStart w:name="z45" w:id="39"/>
    <w:p>
      <w:pPr>
        <w:spacing w:after="0"/>
        <w:ind w:left="0"/>
        <w:jc w:val="both"/>
      </w:pPr>
      <w:r>
        <w:rPr>
          <w:rFonts w:ascii="Times New Roman"/>
          <w:b w:val="false"/>
          <w:i w:val="false"/>
          <w:color w:val="000000"/>
          <w:sz w:val="28"/>
        </w:rPr>
        <w:t>
      2) обследование и восстановление геодезических пунктов;</w:t>
      </w:r>
    </w:p>
    <w:bookmarkEnd w:id="39"/>
    <w:bookmarkStart w:name="z46" w:id="40"/>
    <w:p>
      <w:pPr>
        <w:spacing w:after="0"/>
        <w:ind w:left="0"/>
        <w:jc w:val="both"/>
      </w:pPr>
      <w:r>
        <w:rPr>
          <w:rFonts w:ascii="Times New Roman"/>
          <w:b w:val="false"/>
          <w:i w:val="false"/>
          <w:color w:val="000000"/>
          <w:sz w:val="28"/>
        </w:rPr>
        <w:t>
      3) составление рабочего проекта;</w:t>
      </w:r>
    </w:p>
    <w:bookmarkEnd w:id="40"/>
    <w:bookmarkStart w:name="z47" w:id="41"/>
    <w:p>
      <w:pPr>
        <w:spacing w:after="0"/>
        <w:ind w:left="0"/>
        <w:jc w:val="both"/>
      </w:pPr>
      <w:r>
        <w:rPr>
          <w:rFonts w:ascii="Times New Roman"/>
          <w:b w:val="false"/>
          <w:i w:val="false"/>
          <w:color w:val="000000"/>
          <w:sz w:val="28"/>
        </w:rPr>
        <w:t>
      4) проведение измерений на пунктах ГГС;</w:t>
      </w:r>
    </w:p>
    <w:bookmarkEnd w:id="41"/>
    <w:bookmarkStart w:name="z48" w:id="42"/>
    <w:p>
      <w:pPr>
        <w:spacing w:after="0"/>
        <w:ind w:left="0"/>
        <w:jc w:val="both"/>
      </w:pPr>
      <w:r>
        <w:rPr>
          <w:rFonts w:ascii="Times New Roman"/>
          <w:b w:val="false"/>
          <w:i w:val="false"/>
          <w:color w:val="000000"/>
          <w:sz w:val="28"/>
        </w:rPr>
        <w:t>
      5) обработка результатов измерений, вычисление параметров трансформирования;</w:t>
      </w:r>
    </w:p>
    <w:bookmarkEnd w:id="42"/>
    <w:bookmarkStart w:name="z49" w:id="43"/>
    <w:p>
      <w:pPr>
        <w:spacing w:after="0"/>
        <w:ind w:left="0"/>
        <w:jc w:val="both"/>
      </w:pPr>
      <w:r>
        <w:rPr>
          <w:rFonts w:ascii="Times New Roman"/>
          <w:b w:val="false"/>
          <w:i w:val="false"/>
          <w:color w:val="000000"/>
          <w:sz w:val="28"/>
        </w:rPr>
        <w:t>
      6) оценка качества выполненных работ;</w:t>
      </w:r>
    </w:p>
    <w:bookmarkEnd w:id="43"/>
    <w:bookmarkStart w:name="z50" w:id="44"/>
    <w:p>
      <w:pPr>
        <w:spacing w:after="0"/>
        <w:ind w:left="0"/>
        <w:jc w:val="both"/>
      </w:pPr>
      <w:r>
        <w:rPr>
          <w:rFonts w:ascii="Times New Roman"/>
          <w:b w:val="false"/>
          <w:i w:val="false"/>
          <w:color w:val="000000"/>
          <w:sz w:val="28"/>
        </w:rPr>
        <w:t>
      7) составление технического отчета.</w:t>
      </w:r>
    </w:p>
    <w:bookmarkEnd w:id="44"/>
    <w:bookmarkStart w:name="z51" w:id="45"/>
    <w:p>
      <w:pPr>
        <w:spacing w:after="0"/>
        <w:ind w:left="0"/>
        <w:jc w:val="left"/>
      </w:pPr>
      <w:r>
        <w:rPr>
          <w:rFonts w:ascii="Times New Roman"/>
          <w:b/>
          <w:i w:val="false"/>
          <w:color w:val="000000"/>
        </w:rPr>
        <w:t xml:space="preserve"> Параграф 2.1. Сбор и систематизация материалов геодезической изученности</w:t>
      </w:r>
    </w:p>
    <w:bookmarkEnd w:id="45"/>
    <w:bookmarkStart w:name="z52" w:id="46"/>
    <w:p>
      <w:pPr>
        <w:spacing w:after="0"/>
        <w:ind w:left="0"/>
        <w:jc w:val="both"/>
      </w:pPr>
      <w:r>
        <w:rPr>
          <w:rFonts w:ascii="Times New Roman"/>
          <w:b w:val="false"/>
          <w:i w:val="false"/>
          <w:color w:val="000000"/>
          <w:sz w:val="28"/>
        </w:rPr>
        <w:t xml:space="preserve">
      6. При сборе исходных материалов о геодезической изученности используются следующие источники: </w:t>
      </w:r>
    </w:p>
    <w:bookmarkEnd w:id="46"/>
    <w:bookmarkStart w:name="z53" w:id="47"/>
    <w:p>
      <w:pPr>
        <w:spacing w:after="0"/>
        <w:ind w:left="0"/>
        <w:jc w:val="both"/>
      </w:pPr>
      <w:r>
        <w:rPr>
          <w:rFonts w:ascii="Times New Roman"/>
          <w:b w:val="false"/>
          <w:i w:val="false"/>
          <w:color w:val="000000"/>
          <w:sz w:val="28"/>
        </w:rPr>
        <w:t>
      1) каталоги координат и высот геодезических пунктов;</w:t>
      </w:r>
    </w:p>
    <w:bookmarkEnd w:id="47"/>
    <w:bookmarkStart w:name="z54" w:id="48"/>
    <w:p>
      <w:pPr>
        <w:spacing w:after="0"/>
        <w:ind w:left="0"/>
        <w:jc w:val="both"/>
      </w:pPr>
      <w:r>
        <w:rPr>
          <w:rFonts w:ascii="Times New Roman"/>
          <w:b w:val="false"/>
          <w:i w:val="false"/>
          <w:color w:val="000000"/>
          <w:sz w:val="28"/>
        </w:rPr>
        <w:t>
      2) сводные каталоги высот пунктов нивелирования;</w:t>
      </w:r>
    </w:p>
    <w:bookmarkEnd w:id="48"/>
    <w:bookmarkStart w:name="z55" w:id="49"/>
    <w:p>
      <w:pPr>
        <w:spacing w:after="0"/>
        <w:ind w:left="0"/>
        <w:jc w:val="both"/>
      </w:pPr>
      <w:r>
        <w:rPr>
          <w:rFonts w:ascii="Times New Roman"/>
          <w:b w:val="false"/>
          <w:i w:val="false"/>
          <w:color w:val="000000"/>
          <w:sz w:val="28"/>
        </w:rPr>
        <w:t>
      3) технические отчеты, пояснительные записки ранее выполненных работ.</w:t>
      </w:r>
    </w:p>
    <w:bookmarkEnd w:id="49"/>
    <w:bookmarkStart w:name="z56" w:id="50"/>
    <w:p>
      <w:pPr>
        <w:spacing w:after="0"/>
        <w:ind w:left="0"/>
        <w:jc w:val="both"/>
      </w:pPr>
      <w:r>
        <w:rPr>
          <w:rFonts w:ascii="Times New Roman"/>
          <w:b w:val="false"/>
          <w:i w:val="false"/>
          <w:color w:val="000000"/>
          <w:sz w:val="28"/>
        </w:rPr>
        <w:t>
      7. Перед началом работ по определению параметров преобразования и трансформирования между координатными системами отсчета, устанавливается размер локальной территории или области еҰ распространения, на которую требуется определить параметры трансформирования координат. На основе предварительно собранной информации производится отбор необходимого количества пунктов для получения параметров преобразования и трансформирования координат.</w:t>
      </w:r>
    </w:p>
    <w:bookmarkEnd w:id="50"/>
    <w:bookmarkStart w:name="z57" w:id="51"/>
    <w:p>
      <w:pPr>
        <w:spacing w:after="0"/>
        <w:ind w:left="0"/>
        <w:jc w:val="left"/>
      </w:pPr>
      <w:r>
        <w:rPr>
          <w:rFonts w:ascii="Times New Roman"/>
          <w:b/>
          <w:i w:val="false"/>
          <w:color w:val="000000"/>
        </w:rPr>
        <w:t xml:space="preserve"> Параграф 2.2. Обследование и восстановление геодезических пунктов</w:t>
      </w:r>
    </w:p>
    <w:bookmarkEnd w:id="51"/>
    <w:bookmarkStart w:name="z58" w:id="52"/>
    <w:p>
      <w:pPr>
        <w:spacing w:after="0"/>
        <w:ind w:left="0"/>
        <w:jc w:val="both"/>
      </w:pPr>
      <w:r>
        <w:rPr>
          <w:rFonts w:ascii="Times New Roman"/>
          <w:b w:val="false"/>
          <w:i w:val="false"/>
          <w:color w:val="000000"/>
          <w:sz w:val="28"/>
        </w:rPr>
        <w:t>
      8. Обследованию и восстановлению подлежат не менее 9 геодезических пунктов, из них не менее чем на 3-х пунктах определяются высоты по программе нивелирования III-IV классов (при отсутствии таких пунктов в рабочий проект включаются работы по привязке к линиям нивелирования III-IV классов остальных пунктов).</w:t>
      </w:r>
    </w:p>
    <w:bookmarkEnd w:id="52"/>
    <w:bookmarkStart w:name="z59" w:id="53"/>
    <w:p>
      <w:pPr>
        <w:spacing w:after="0"/>
        <w:ind w:left="0"/>
        <w:jc w:val="both"/>
      </w:pPr>
      <w:r>
        <w:rPr>
          <w:rFonts w:ascii="Times New Roman"/>
          <w:b w:val="false"/>
          <w:i w:val="false"/>
          <w:color w:val="000000"/>
          <w:sz w:val="28"/>
        </w:rPr>
        <w:t>
      9. Полевые работы по обследованию и восстановлению геодезических пунктов включают следующие процессы:</w:t>
      </w:r>
    </w:p>
    <w:bookmarkEnd w:id="53"/>
    <w:bookmarkStart w:name="z60" w:id="54"/>
    <w:p>
      <w:pPr>
        <w:spacing w:after="0"/>
        <w:ind w:left="0"/>
        <w:jc w:val="both"/>
      </w:pPr>
      <w:r>
        <w:rPr>
          <w:rFonts w:ascii="Times New Roman"/>
          <w:b w:val="false"/>
          <w:i w:val="false"/>
          <w:color w:val="000000"/>
          <w:sz w:val="28"/>
        </w:rPr>
        <w:t>
      1) отыскание пунктов на местности;</w:t>
      </w:r>
    </w:p>
    <w:bookmarkEnd w:id="54"/>
    <w:bookmarkStart w:name="z61" w:id="55"/>
    <w:p>
      <w:pPr>
        <w:spacing w:after="0"/>
        <w:ind w:left="0"/>
        <w:jc w:val="both"/>
      </w:pPr>
      <w:r>
        <w:rPr>
          <w:rFonts w:ascii="Times New Roman"/>
          <w:b w:val="false"/>
          <w:i w:val="false"/>
          <w:color w:val="000000"/>
          <w:sz w:val="28"/>
        </w:rPr>
        <w:t>
      2) осмотр пунктов и выяснение состояния их наружных знаков, центров, и внешнего оформления;</w:t>
      </w:r>
    </w:p>
    <w:bookmarkEnd w:id="55"/>
    <w:bookmarkStart w:name="z62" w:id="56"/>
    <w:p>
      <w:pPr>
        <w:spacing w:after="0"/>
        <w:ind w:left="0"/>
        <w:jc w:val="both"/>
      </w:pPr>
      <w:r>
        <w:rPr>
          <w:rFonts w:ascii="Times New Roman"/>
          <w:b w:val="false"/>
          <w:i w:val="false"/>
          <w:color w:val="000000"/>
          <w:sz w:val="28"/>
        </w:rPr>
        <w:t>
      3) фотографирование марок сохранившихся центров;</w:t>
      </w:r>
    </w:p>
    <w:bookmarkEnd w:id="56"/>
    <w:bookmarkStart w:name="z63" w:id="57"/>
    <w:p>
      <w:pPr>
        <w:spacing w:after="0"/>
        <w:ind w:left="0"/>
        <w:jc w:val="both"/>
      </w:pPr>
      <w:r>
        <w:rPr>
          <w:rFonts w:ascii="Times New Roman"/>
          <w:b w:val="false"/>
          <w:i w:val="false"/>
          <w:color w:val="000000"/>
          <w:sz w:val="28"/>
        </w:rPr>
        <w:t>
      4) восстановление пунктов;</w:t>
      </w:r>
    </w:p>
    <w:bookmarkEnd w:id="57"/>
    <w:bookmarkStart w:name="z64" w:id="58"/>
    <w:p>
      <w:pPr>
        <w:spacing w:after="0"/>
        <w:ind w:left="0"/>
        <w:jc w:val="both"/>
      </w:pPr>
      <w:r>
        <w:rPr>
          <w:rFonts w:ascii="Times New Roman"/>
          <w:b w:val="false"/>
          <w:i w:val="false"/>
          <w:color w:val="000000"/>
          <w:sz w:val="28"/>
        </w:rPr>
        <w:t>
      5) составление пояснений о необходимости дополнительного времени для сеанса наблюдений на пунктах (при необходимости);</w:t>
      </w:r>
    </w:p>
    <w:bookmarkEnd w:id="58"/>
    <w:bookmarkStart w:name="z65" w:id="59"/>
    <w:p>
      <w:pPr>
        <w:spacing w:after="0"/>
        <w:ind w:left="0"/>
        <w:jc w:val="both"/>
      </w:pPr>
      <w:r>
        <w:rPr>
          <w:rFonts w:ascii="Times New Roman"/>
          <w:b w:val="false"/>
          <w:i w:val="false"/>
          <w:color w:val="000000"/>
          <w:sz w:val="28"/>
        </w:rPr>
        <w:t>
      6) оформление пояснительной записки по результатам обследования и восстановления пунктов.</w:t>
      </w:r>
    </w:p>
    <w:bookmarkEnd w:id="59"/>
    <w:bookmarkStart w:name="z66" w:id="60"/>
    <w:p>
      <w:pPr>
        <w:spacing w:after="0"/>
        <w:ind w:left="0"/>
        <w:jc w:val="left"/>
      </w:pPr>
      <w:r>
        <w:rPr>
          <w:rFonts w:ascii="Times New Roman"/>
          <w:b/>
          <w:i w:val="false"/>
          <w:color w:val="000000"/>
        </w:rPr>
        <w:t xml:space="preserve"> Параграф 2.3. Составление рабочего проекта</w:t>
      </w:r>
    </w:p>
    <w:bookmarkEnd w:id="60"/>
    <w:bookmarkStart w:name="z67" w:id="61"/>
    <w:p>
      <w:pPr>
        <w:spacing w:after="0"/>
        <w:ind w:left="0"/>
        <w:jc w:val="both"/>
      </w:pPr>
      <w:r>
        <w:rPr>
          <w:rFonts w:ascii="Times New Roman"/>
          <w:b w:val="false"/>
          <w:i w:val="false"/>
          <w:color w:val="000000"/>
          <w:sz w:val="28"/>
        </w:rPr>
        <w:t>
      10. Рабочий проект составляется на основании технического проекта (технической спецификации), результатов обследования и восстановления геодезических пунктов на объекте работ.</w:t>
      </w:r>
    </w:p>
    <w:bookmarkEnd w:id="61"/>
    <w:bookmarkStart w:name="z68" w:id="62"/>
    <w:p>
      <w:pPr>
        <w:spacing w:after="0"/>
        <w:ind w:left="0"/>
        <w:jc w:val="both"/>
      </w:pPr>
      <w:r>
        <w:rPr>
          <w:rFonts w:ascii="Times New Roman"/>
          <w:b w:val="false"/>
          <w:i w:val="false"/>
          <w:color w:val="000000"/>
          <w:sz w:val="28"/>
        </w:rPr>
        <w:t>
      В рабочем проекте указываются планирование, организация работ и описание исходных данных для выполнения работ, порядок и последовательность их выполнения.</w:t>
      </w:r>
    </w:p>
    <w:bookmarkEnd w:id="62"/>
    <w:bookmarkStart w:name="z69" w:id="63"/>
    <w:p>
      <w:pPr>
        <w:spacing w:after="0"/>
        <w:ind w:left="0"/>
        <w:jc w:val="both"/>
      </w:pPr>
      <w:r>
        <w:rPr>
          <w:rFonts w:ascii="Times New Roman"/>
          <w:b w:val="false"/>
          <w:i w:val="false"/>
          <w:color w:val="000000"/>
          <w:sz w:val="28"/>
        </w:rPr>
        <w:t xml:space="preserve">
      В рабочем проекте учитываются количество и тип имеющихся приемников, а также возможности программного обеспечения для обработки измерений. </w:t>
      </w:r>
    </w:p>
    <w:bookmarkEnd w:id="63"/>
    <w:bookmarkStart w:name="z70" w:id="64"/>
    <w:p>
      <w:pPr>
        <w:spacing w:after="0"/>
        <w:ind w:left="0"/>
        <w:jc w:val="both"/>
      </w:pPr>
      <w:r>
        <w:rPr>
          <w:rFonts w:ascii="Times New Roman"/>
          <w:b w:val="false"/>
          <w:i w:val="false"/>
          <w:color w:val="000000"/>
          <w:sz w:val="28"/>
        </w:rPr>
        <w:t>
      11. В состав рабочего проекта включаются:</w:t>
      </w:r>
    </w:p>
    <w:bookmarkEnd w:id="64"/>
    <w:bookmarkStart w:name="z71" w:id="65"/>
    <w:p>
      <w:pPr>
        <w:spacing w:after="0"/>
        <w:ind w:left="0"/>
        <w:jc w:val="both"/>
      </w:pPr>
      <w:r>
        <w:rPr>
          <w:rFonts w:ascii="Times New Roman"/>
          <w:b w:val="false"/>
          <w:i w:val="false"/>
          <w:color w:val="000000"/>
          <w:sz w:val="28"/>
        </w:rPr>
        <w:t>
      1) список сохранившихся пунктов;</w:t>
      </w:r>
    </w:p>
    <w:bookmarkEnd w:id="65"/>
    <w:bookmarkStart w:name="z72" w:id="66"/>
    <w:p>
      <w:pPr>
        <w:spacing w:after="0"/>
        <w:ind w:left="0"/>
        <w:jc w:val="both"/>
      </w:pPr>
      <w:r>
        <w:rPr>
          <w:rFonts w:ascii="Times New Roman"/>
          <w:b w:val="false"/>
          <w:i w:val="false"/>
          <w:color w:val="000000"/>
          <w:sz w:val="28"/>
        </w:rPr>
        <w:t>
      2) схема расположения пунктов, на которой отображаются подлежащие координированию пункты;</w:t>
      </w:r>
    </w:p>
    <w:bookmarkEnd w:id="66"/>
    <w:bookmarkStart w:name="z73" w:id="67"/>
    <w:p>
      <w:pPr>
        <w:spacing w:after="0"/>
        <w:ind w:left="0"/>
        <w:jc w:val="both"/>
      </w:pPr>
      <w:r>
        <w:rPr>
          <w:rFonts w:ascii="Times New Roman"/>
          <w:b w:val="false"/>
          <w:i w:val="false"/>
          <w:color w:val="000000"/>
          <w:sz w:val="28"/>
        </w:rPr>
        <w:t>
      3) места расположения опорных пунктов на которых будут установлены передвижные базовые станции и намечаются участки работ (блок) для исполнителей;</w:t>
      </w:r>
    </w:p>
    <w:bookmarkEnd w:id="67"/>
    <w:bookmarkStart w:name="z74" w:id="68"/>
    <w:p>
      <w:pPr>
        <w:spacing w:after="0"/>
        <w:ind w:left="0"/>
        <w:jc w:val="both"/>
      </w:pPr>
      <w:r>
        <w:rPr>
          <w:rFonts w:ascii="Times New Roman"/>
          <w:b w:val="false"/>
          <w:i w:val="false"/>
          <w:color w:val="000000"/>
          <w:sz w:val="28"/>
        </w:rPr>
        <w:t>
      4) схемы маршрутов передвижения между пунктами;</w:t>
      </w:r>
    </w:p>
    <w:bookmarkEnd w:id="68"/>
    <w:bookmarkStart w:name="z75" w:id="69"/>
    <w:p>
      <w:pPr>
        <w:spacing w:after="0"/>
        <w:ind w:left="0"/>
        <w:jc w:val="both"/>
      </w:pPr>
      <w:r>
        <w:rPr>
          <w:rFonts w:ascii="Times New Roman"/>
          <w:b w:val="false"/>
          <w:i w:val="false"/>
          <w:color w:val="000000"/>
          <w:sz w:val="28"/>
        </w:rPr>
        <w:t>
      5) описание последовательности выполнения спутниковых измерений;</w:t>
      </w:r>
    </w:p>
    <w:bookmarkEnd w:id="69"/>
    <w:bookmarkStart w:name="z76" w:id="70"/>
    <w:p>
      <w:pPr>
        <w:spacing w:after="0"/>
        <w:ind w:left="0"/>
        <w:jc w:val="both"/>
      </w:pPr>
      <w:r>
        <w:rPr>
          <w:rFonts w:ascii="Times New Roman"/>
          <w:b w:val="false"/>
          <w:i w:val="false"/>
          <w:color w:val="000000"/>
          <w:sz w:val="28"/>
        </w:rPr>
        <w:t>
      6) описание последовательности выполнения обработки измерений.</w:t>
      </w:r>
    </w:p>
    <w:bookmarkEnd w:id="70"/>
    <w:bookmarkStart w:name="z77" w:id="71"/>
    <w:p>
      <w:pPr>
        <w:spacing w:after="0"/>
        <w:ind w:left="0"/>
        <w:jc w:val="left"/>
      </w:pPr>
      <w:r>
        <w:rPr>
          <w:rFonts w:ascii="Times New Roman"/>
          <w:b/>
          <w:i w:val="false"/>
          <w:color w:val="000000"/>
        </w:rPr>
        <w:t xml:space="preserve"> Параграф 2.4. Проведение измерений на пунктах ГГС</w:t>
      </w:r>
    </w:p>
    <w:bookmarkEnd w:id="71"/>
    <w:bookmarkStart w:name="z78" w:id="72"/>
    <w:p>
      <w:pPr>
        <w:spacing w:after="0"/>
        <w:ind w:left="0"/>
        <w:jc w:val="both"/>
      </w:pPr>
      <w:r>
        <w:rPr>
          <w:rFonts w:ascii="Times New Roman"/>
          <w:b w:val="false"/>
          <w:i w:val="false"/>
          <w:color w:val="000000"/>
          <w:sz w:val="28"/>
        </w:rPr>
        <w:t>
      12. Полевые работы по проведению измерений на пунктах ГГС включают следующие процессы:</w:t>
      </w:r>
    </w:p>
    <w:bookmarkEnd w:id="72"/>
    <w:bookmarkStart w:name="z79" w:id="73"/>
    <w:p>
      <w:pPr>
        <w:spacing w:after="0"/>
        <w:ind w:left="0"/>
        <w:jc w:val="both"/>
      </w:pPr>
      <w:r>
        <w:rPr>
          <w:rFonts w:ascii="Times New Roman"/>
          <w:b w:val="false"/>
          <w:i w:val="false"/>
          <w:color w:val="000000"/>
          <w:sz w:val="28"/>
        </w:rPr>
        <w:t>
      1) подготовка оборудования к работе;</w:t>
      </w:r>
    </w:p>
    <w:bookmarkEnd w:id="73"/>
    <w:bookmarkStart w:name="z80" w:id="74"/>
    <w:p>
      <w:pPr>
        <w:spacing w:after="0"/>
        <w:ind w:left="0"/>
        <w:jc w:val="both"/>
      </w:pPr>
      <w:r>
        <w:rPr>
          <w:rFonts w:ascii="Times New Roman"/>
          <w:b w:val="false"/>
          <w:i w:val="false"/>
          <w:color w:val="000000"/>
          <w:sz w:val="28"/>
        </w:rPr>
        <w:t>
      2) установка ГНСС-приемника на пунктах наблюдений, включение, инициализация;</w:t>
      </w:r>
    </w:p>
    <w:bookmarkEnd w:id="74"/>
    <w:bookmarkStart w:name="z81" w:id="75"/>
    <w:p>
      <w:pPr>
        <w:spacing w:after="0"/>
        <w:ind w:left="0"/>
        <w:jc w:val="both"/>
      </w:pPr>
      <w:r>
        <w:rPr>
          <w:rFonts w:ascii="Times New Roman"/>
          <w:b w:val="false"/>
          <w:i w:val="false"/>
          <w:color w:val="000000"/>
          <w:sz w:val="28"/>
        </w:rPr>
        <w:t>
      3) заполнение журнала спутниковых измерений;</w:t>
      </w:r>
    </w:p>
    <w:bookmarkEnd w:id="75"/>
    <w:bookmarkStart w:name="z82" w:id="76"/>
    <w:p>
      <w:pPr>
        <w:spacing w:after="0"/>
        <w:ind w:left="0"/>
        <w:jc w:val="both"/>
      </w:pPr>
      <w:r>
        <w:rPr>
          <w:rFonts w:ascii="Times New Roman"/>
          <w:b w:val="false"/>
          <w:i w:val="false"/>
          <w:color w:val="000000"/>
          <w:sz w:val="28"/>
        </w:rPr>
        <w:t>
      4) проведение спутниковых наблюдений;</w:t>
      </w:r>
    </w:p>
    <w:bookmarkEnd w:id="76"/>
    <w:bookmarkStart w:name="z83" w:id="77"/>
    <w:p>
      <w:pPr>
        <w:spacing w:after="0"/>
        <w:ind w:left="0"/>
        <w:jc w:val="both"/>
      </w:pPr>
      <w:r>
        <w:rPr>
          <w:rFonts w:ascii="Times New Roman"/>
          <w:b w:val="false"/>
          <w:i w:val="false"/>
          <w:color w:val="000000"/>
          <w:sz w:val="28"/>
        </w:rPr>
        <w:t>
      5) сохранение данных наблюдений.</w:t>
      </w:r>
    </w:p>
    <w:bookmarkEnd w:id="77"/>
    <w:bookmarkStart w:name="z84" w:id="78"/>
    <w:p>
      <w:pPr>
        <w:spacing w:after="0"/>
        <w:ind w:left="0"/>
        <w:jc w:val="both"/>
      </w:pPr>
      <w:r>
        <w:rPr>
          <w:rFonts w:ascii="Times New Roman"/>
          <w:b w:val="false"/>
          <w:i w:val="false"/>
          <w:color w:val="000000"/>
          <w:sz w:val="28"/>
        </w:rPr>
        <w:t>
      13. При подготовке оборудования к работе в память блока управления и в журнал полевых измерений записываются следующие параметры:</w:t>
      </w:r>
    </w:p>
    <w:bookmarkEnd w:id="78"/>
    <w:bookmarkStart w:name="z85" w:id="79"/>
    <w:p>
      <w:pPr>
        <w:spacing w:after="0"/>
        <w:ind w:left="0"/>
        <w:jc w:val="both"/>
      </w:pPr>
      <w:r>
        <w:rPr>
          <w:rFonts w:ascii="Times New Roman"/>
          <w:b w:val="false"/>
          <w:i w:val="false"/>
          <w:color w:val="000000"/>
          <w:sz w:val="28"/>
        </w:rPr>
        <w:t>
      1) минимальное число одновременно наблюдаемых спутников;</w:t>
      </w:r>
    </w:p>
    <w:bookmarkEnd w:id="79"/>
    <w:bookmarkStart w:name="z86" w:id="80"/>
    <w:p>
      <w:pPr>
        <w:spacing w:after="0"/>
        <w:ind w:left="0"/>
        <w:jc w:val="both"/>
      </w:pPr>
      <w:r>
        <w:rPr>
          <w:rFonts w:ascii="Times New Roman"/>
          <w:b w:val="false"/>
          <w:i w:val="false"/>
          <w:color w:val="000000"/>
          <w:sz w:val="28"/>
        </w:rPr>
        <w:t>
      2) дискретность измерений (интервал времени фиксации измерений) между приемами спутникового сигнала;</w:t>
      </w:r>
    </w:p>
    <w:bookmarkEnd w:id="80"/>
    <w:bookmarkStart w:name="z87" w:id="81"/>
    <w:p>
      <w:pPr>
        <w:spacing w:after="0"/>
        <w:ind w:left="0"/>
        <w:jc w:val="both"/>
      </w:pPr>
      <w:r>
        <w:rPr>
          <w:rFonts w:ascii="Times New Roman"/>
          <w:b w:val="false"/>
          <w:i w:val="false"/>
          <w:color w:val="000000"/>
          <w:sz w:val="28"/>
        </w:rPr>
        <w:t>
      3) минимальный угол возвышения спутников над горизонтом;</w:t>
      </w:r>
    </w:p>
    <w:bookmarkEnd w:id="81"/>
    <w:bookmarkStart w:name="z88" w:id="82"/>
    <w:p>
      <w:pPr>
        <w:spacing w:after="0"/>
        <w:ind w:left="0"/>
        <w:jc w:val="both"/>
      </w:pPr>
      <w:r>
        <w:rPr>
          <w:rFonts w:ascii="Times New Roman"/>
          <w:b w:val="false"/>
          <w:i w:val="false"/>
          <w:color w:val="000000"/>
          <w:sz w:val="28"/>
        </w:rPr>
        <w:t>
      4) продолжительность каждого сеанса наблюдений.</w:t>
      </w:r>
    </w:p>
    <w:bookmarkEnd w:id="82"/>
    <w:bookmarkStart w:name="z89" w:id="83"/>
    <w:p>
      <w:pPr>
        <w:spacing w:after="0"/>
        <w:ind w:left="0"/>
        <w:jc w:val="both"/>
      </w:pPr>
      <w:r>
        <w:rPr>
          <w:rFonts w:ascii="Times New Roman"/>
          <w:b w:val="false"/>
          <w:i w:val="false"/>
          <w:color w:val="000000"/>
          <w:sz w:val="28"/>
        </w:rPr>
        <w:t>
      14. Спутниковые измерения производят согласно требованиям технического проекта (технической спецификации) с соблюдением учета астрономических часов.</w:t>
      </w:r>
    </w:p>
    <w:bookmarkEnd w:id="83"/>
    <w:bookmarkStart w:name="z90" w:id="84"/>
    <w:p>
      <w:pPr>
        <w:spacing w:after="0"/>
        <w:ind w:left="0"/>
        <w:jc w:val="both"/>
      </w:pPr>
      <w:r>
        <w:rPr>
          <w:rFonts w:ascii="Times New Roman"/>
          <w:b w:val="false"/>
          <w:i w:val="false"/>
          <w:color w:val="000000"/>
          <w:sz w:val="28"/>
        </w:rPr>
        <w:t>
      После завершения измерений исходные данные измерений выгружаются из оборудования и передаются для обработки измерений в специализированном программном обеспечении.</w:t>
      </w:r>
    </w:p>
    <w:bookmarkEnd w:id="84"/>
    <w:bookmarkStart w:name="z91" w:id="85"/>
    <w:p>
      <w:pPr>
        <w:spacing w:after="0"/>
        <w:ind w:left="0"/>
        <w:jc w:val="left"/>
      </w:pPr>
      <w:r>
        <w:rPr>
          <w:rFonts w:ascii="Times New Roman"/>
          <w:b/>
          <w:i w:val="false"/>
          <w:color w:val="000000"/>
        </w:rPr>
        <w:t xml:space="preserve"> Параграф 2.5. Обработка результатов измерений, вычисление параметров трансформирования</w:t>
      </w:r>
    </w:p>
    <w:bookmarkEnd w:id="85"/>
    <w:bookmarkStart w:name="z92" w:id="86"/>
    <w:p>
      <w:pPr>
        <w:spacing w:after="0"/>
        <w:ind w:left="0"/>
        <w:jc w:val="both"/>
      </w:pPr>
      <w:r>
        <w:rPr>
          <w:rFonts w:ascii="Times New Roman"/>
          <w:b w:val="false"/>
          <w:i w:val="false"/>
          <w:color w:val="000000"/>
          <w:sz w:val="28"/>
        </w:rPr>
        <w:t>
      15. Обработка результатов измерений выполняется с использованием данных по коррекции часов, точных эфемерид спутников, поправок за ионосферные и тропосферные задержки сигналов.</w:t>
      </w:r>
    </w:p>
    <w:bookmarkEnd w:id="86"/>
    <w:bookmarkStart w:name="z93" w:id="87"/>
    <w:p>
      <w:pPr>
        <w:spacing w:after="0"/>
        <w:ind w:left="0"/>
        <w:jc w:val="both"/>
      </w:pPr>
      <w:r>
        <w:rPr>
          <w:rFonts w:ascii="Times New Roman"/>
          <w:b w:val="false"/>
          <w:i w:val="false"/>
          <w:color w:val="000000"/>
          <w:sz w:val="28"/>
        </w:rPr>
        <w:t>
      В обработку включают все измеренные пункты, постоянно действующие референцные станции ФАГС, ВГС и передвижные базовые станции.</w:t>
      </w:r>
    </w:p>
    <w:bookmarkEnd w:id="87"/>
    <w:bookmarkStart w:name="z94" w:id="88"/>
    <w:p>
      <w:pPr>
        <w:spacing w:after="0"/>
        <w:ind w:left="0"/>
        <w:jc w:val="both"/>
      </w:pPr>
      <w:r>
        <w:rPr>
          <w:rFonts w:ascii="Times New Roman"/>
          <w:b w:val="false"/>
          <w:i w:val="false"/>
          <w:color w:val="000000"/>
          <w:sz w:val="28"/>
        </w:rPr>
        <w:t>
      16. После обработки измерений и получения координат пунктов производится вычисление параметров трансформирования с учетом эпох координат как в исходной координатной системе отсчета, так и в целевой координатной системе отсчета.</w:t>
      </w:r>
    </w:p>
    <w:bookmarkEnd w:id="88"/>
    <w:bookmarkStart w:name="z95" w:id="89"/>
    <w:p>
      <w:pPr>
        <w:spacing w:after="0"/>
        <w:ind w:left="0"/>
        <w:jc w:val="both"/>
      </w:pPr>
      <w:r>
        <w:rPr>
          <w:rFonts w:ascii="Times New Roman"/>
          <w:b w:val="false"/>
          <w:i w:val="false"/>
          <w:color w:val="000000"/>
          <w:sz w:val="28"/>
        </w:rPr>
        <w:t>
      Полученные параметры указываются в техническом отчете с указанием эпох и этапов перехода.</w:t>
      </w:r>
    </w:p>
    <w:bookmarkEnd w:id="89"/>
    <w:bookmarkStart w:name="z96" w:id="90"/>
    <w:p>
      <w:pPr>
        <w:spacing w:after="0"/>
        <w:ind w:left="0"/>
        <w:jc w:val="left"/>
      </w:pPr>
      <w:r>
        <w:rPr>
          <w:rFonts w:ascii="Times New Roman"/>
          <w:b/>
          <w:i w:val="false"/>
          <w:color w:val="000000"/>
        </w:rPr>
        <w:t xml:space="preserve"> Параграф 2.6. Оценка качества выполненных работ</w:t>
      </w:r>
    </w:p>
    <w:bookmarkEnd w:id="90"/>
    <w:bookmarkStart w:name="z97" w:id="91"/>
    <w:p>
      <w:pPr>
        <w:spacing w:after="0"/>
        <w:ind w:left="0"/>
        <w:jc w:val="both"/>
      </w:pPr>
      <w:r>
        <w:rPr>
          <w:rFonts w:ascii="Times New Roman"/>
          <w:b w:val="false"/>
          <w:i w:val="false"/>
          <w:color w:val="000000"/>
          <w:sz w:val="28"/>
        </w:rPr>
        <w:t>
      17. В процессе обработки полевых измерений и в процессе вычисления параметров трансформирования выполняется оценка качества согласно требованиям технического проекта (технической спецификации). При недостижении требований по точности указанные в техническом проекте (технической спецификации) выполняется повторная обработка измерений или перевычисление с исключением пунктов, на которых наблюдаются наибольшие ошибки. В случае недостижения точности после исключения пунктов или недостаточного количества пунктов, выполняется повторное проведение измерений на пунктах ГГС.</w:t>
      </w:r>
    </w:p>
    <w:bookmarkEnd w:id="91"/>
    <w:bookmarkStart w:name="z98" w:id="92"/>
    <w:p>
      <w:pPr>
        <w:spacing w:after="0"/>
        <w:ind w:left="0"/>
        <w:jc w:val="left"/>
      </w:pPr>
      <w:r>
        <w:rPr>
          <w:rFonts w:ascii="Times New Roman"/>
          <w:b/>
          <w:i w:val="false"/>
          <w:color w:val="000000"/>
        </w:rPr>
        <w:t xml:space="preserve"> Параграф 2.7. Составление технического отчета</w:t>
      </w:r>
    </w:p>
    <w:bookmarkEnd w:id="92"/>
    <w:bookmarkStart w:name="z99" w:id="93"/>
    <w:p>
      <w:pPr>
        <w:spacing w:after="0"/>
        <w:ind w:left="0"/>
        <w:jc w:val="both"/>
      </w:pPr>
      <w:r>
        <w:rPr>
          <w:rFonts w:ascii="Times New Roman"/>
          <w:b w:val="false"/>
          <w:i w:val="false"/>
          <w:color w:val="000000"/>
          <w:sz w:val="28"/>
        </w:rPr>
        <w:t>
      18. В результате выполненных работ и получения параметров трансформирования в соответствии с требованиями технического проекта (технической спецификации) составляется технический отчет.</w:t>
      </w:r>
    </w:p>
    <w:bookmarkEnd w:id="93"/>
    <w:bookmarkStart w:name="z100" w:id="94"/>
    <w:p>
      <w:pPr>
        <w:spacing w:after="0"/>
        <w:ind w:left="0"/>
        <w:jc w:val="both"/>
      </w:pPr>
      <w:r>
        <w:rPr>
          <w:rFonts w:ascii="Times New Roman"/>
          <w:b w:val="false"/>
          <w:i w:val="false"/>
          <w:color w:val="000000"/>
          <w:sz w:val="28"/>
        </w:rPr>
        <w:t>
      В техническом отчете указываются методы и порядок выполненных работ, указываются значения параметров трансформирования и их точность.</w:t>
      </w:r>
    </w:p>
    <w:bookmarkEnd w:id="94"/>
    <w:bookmarkStart w:name="z101" w:id="95"/>
    <w:p>
      <w:pPr>
        <w:spacing w:after="0"/>
        <w:ind w:left="0"/>
        <w:jc w:val="both"/>
      </w:pPr>
      <w:r>
        <w:rPr>
          <w:rFonts w:ascii="Times New Roman"/>
          <w:b w:val="false"/>
          <w:i w:val="false"/>
          <w:color w:val="000000"/>
          <w:sz w:val="28"/>
        </w:rPr>
        <w:t>
      К техническому отчету прикладываются схема территории, на которую определены параметры с указанием геодезических пунктов участвовавших в расчете параметров. К техническому отчету прикладываются исходные данные полевых измерений в формате RINEX и отчет о точности обработки измерений.</w:t>
      </w:r>
    </w:p>
    <w:bookmarkEnd w:id="95"/>
    <w:bookmarkStart w:name="z102" w:id="96"/>
    <w:p>
      <w:pPr>
        <w:spacing w:after="0"/>
        <w:ind w:left="0"/>
        <w:jc w:val="both"/>
      </w:pPr>
      <w:r>
        <w:rPr>
          <w:rFonts w:ascii="Times New Roman"/>
          <w:b w:val="false"/>
          <w:i w:val="false"/>
          <w:color w:val="000000"/>
          <w:sz w:val="28"/>
        </w:rPr>
        <w:t xml:space="preserve">
      Технический отчет с приложениями подлежит сдаче в Национальный фонд пространственных данных в соответствии с правилами формирования, сбора, хранения, использования и выдачи сведений Национального фонда пространственных данных, утверждаемых уполномоченным органом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20 Закона.</w:t>
      </w:r>
    </w:p>
    <w:bookmarkEnd w:id="96"/>
    <w:bookmarkStart w:name="z103" w:id="97"/>
    <w:p>
      <w:pPr>
        <w:spacing w:after="0"/>
        <w:ind w:left="0"/>
        <w:jc w:val="left"/>
      </w:pPr>
      <w:r>
        <w:rPr>
          <w:rFonts w:ascii="Times New Roman"/>
          <w:b/>
          <w:i w:val="false"/>
          <w:color w:val="000000"/>
        </w:rPr>
        <w:t xml:space="preserve"> Глава 3. Порядок использования параметров трансформирования и преобразования между государственной, международными, местными координатными системами отсчета</w:t>
      </w:r>
    </w:p>
    <w:bookmarkEnd w:id="97"/>
    <w:bookmarkStart w:name="z104" w:id="98"/>
    <w:p>
      <w:pPr>
        <w:spacing w:after="0"/>
        <w:ind w:left="0"/>
        <w:jc w:val="both"/>
      </w:pPr>
      <w:r>
        <w:rPr>
          <w:rFonts w:ascii="Times New Roman"/>
          <w:b w:val="false"/>
          <w:i w:val="false"/>
          <w:color w:val="000000"/>
          <w:sz w:val="28"/>
        </w:rPr>
        <w:t>
      19. Параметры трансформирования и преобразования между государственной, международными, местными координатными системами отсчета используются при проведении геодезических и картографических работ финансируемых за счет бюджетных средств.</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