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f156" w14:textId="b69f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национальной экономики Республики Казахстан от 21 января 2015 года № 34 "Об утверждении Методики прогнозирования поступлений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10 марта 2023 года № 31. Зарегистрирован в Министерстве юстиции Республики Казахстан 10 марта 2023 года № 32040. Утратил силу приказом Заместителя Премьер-Министра - Министра национальной экономики Республики Казахстан от 29 мая 2025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29.05.2025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января 2015 года № 34 "Об утверждении Методики прогнозирования поступлений бюджета" (зарегистрирован в Реестре государственной регистрации нормативных правовых актов за № 10322)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прогнозирования поступлений бюджета,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Прогноз по корпоративному подоходному налогу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за исключением поступлений от организаций нефтяного сектора (далее – КПН от субъектов крупного предпринимательства)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определяется на основе объема валовой добавленной стоимости (далее – ВДС) ненефтяного сектора ПСЭР, нефтяного вторичного и третичного секторов ПСЭР, эффективной ставки налога по следующей формуле: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KРN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= KРN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KРN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KРN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общая прогнозная сумма КПН от субъектов крупного предпринимательства;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KРN</w:t>
      </w:r>
      <w:r>
        <w:rPr>
          <w:rFonts w:ascii="Times New Roman"/>
          <w:b w:val="false"/>
          <w:i w:val="false"/>
          <w:color w:val="000000"/>
          <w:vertAlign w:val="subscript"/>
        </w:rPr>
        <w:t>п1</w:t>
      </w:r>
      <w:r>
        <w:rPr>
          <w:rFonts w:ascii="Times New Roman"/>
          <w:b w:val="false"/>
          <w:i w:val="false"/>
          <w:color w:val="000000"/>
          <w:sz w:val="28"/>
        </w:rPr>
        <w:t xml:space="preserve"> = (V</w:t>
      </w:r>
      <w:r>
        <w:rPr>
          <w:rFonts w:ascii="Times New Roman"/>
          <w:b w:val="false"/>
          <w:i w:val="false"/>
          <w:color w:val="000000"/>
          <w:vertAlign w:val="subscript"/>
        </w:rPr>
        <w:t>вдс</w:t>
      </w:r>
      <w:r>
        <w:rPr>
          <w:rFonts w:ascii="Times New Roman"/>
          <w:b w:val="false"/>
          <w:i w:val="false"/>
          <w:color w:val="000000"/>
          <w:vertAlign w:val="subscript"/>
        </w:rPr>
        <w:t>(п.)</w:t>
      </w:r>
      <w:r>
        <w:rPr>
          <w:rFonts w:ascii="Times New Roman"/>
          <w:b w:val="false"/>
          <w:i w:val="false"/>
          <w:color w:val="000000"/>
          <w:sz w:val="28"/>
        </w:rPr>
        <w:t xml:space="preserve"> * S</w:t>
      </w:r>
      <w:r>
        <w:rPr>
          <w:rFonts w:ascii="Times New Roman"/>
          <w:b w:val="false"/>
          <w:i w:val="false"/>
          <w:color w:val="000000"/>
          <w:vertAlign w:val="subscript"/>
        </w:rPr>
        <w:t>отч</w:t>
      </w:r>
      <w:r>
        <w:rPr>
          <w:rFonts w:ascii="Times New Roman"/>
          <w:b w:val="false"/>
          <w:i w:val="false"/>
          <w:color w:val="000000"/>
          <w:sz w:val="28"/>
        </w:rPr>
        <w:t>) + NA, где: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KРN</w:t>
      </w:r>
      <w:r>
        <w:rPr>
          <w:rFonts w:ascii="Times New Roman"/>
          <w:b w:val="false"/>
          <w:i w:val="false"/>
          <w:color w:val="000000"/>
          <w:vertAlign w:val="subscript"/>
        </w:rPr>
        <w:t>п1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сумма КПН от субъектов крупного предпринимательства ненефтяного сектора;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вдс</w:t>
      </w:r>
      <w:r>
        <w:rPr>
          <w:rFonts w:ascii="Times New Roman"/>
          <w:b w:val="false"/>
          <w:i w:val="false"/>
          <w:color w:val="000000"/>
          <w:vertAlign w:val="subscript"/>
        </w:rPr>
        <w:t>(п)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прогнозный объем ВДС ненефтяного сектора;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отч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эффективная ставка КПН от субъектов крупного предпринимательства ненефтяного сектора за отчетный финансовый год, %;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NA – налоговое и таможенное администрирование (0,3% к ВДС ненефтяного сектора в номинальном выражении);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отч</w:t>
      </w:r>
      <w:r>
        <w:rPr>
          <w:rFonts w:ascii="Times New Roman"/>
          <w:b w:val="false"/>
          <w:i w:val="false"/>
          <w:color w:val="000000"/>
          <w:sz w:val="28"/>
        </w:rPr>
        <w:t xml:space="preserve"> = KРN</w:t>
      </w:r>
      <w:r>
        <w:rPr>
          <w:rFonts w:ascii="Times New Roman"/>
          <w:b w:val="false"/>
          <w:i w:val="false"/>
          <w:color w:val="000000"/>
          <w:vertAlign w:val="subscript"/>
        </w:rPr>
        <w:t>отч</w:t>
      </w:r>
      <w:r>
        <w:rPr>
          <w:rFonts w:ascii="Times New Roman"/>
          <w:b w:val="false"/>
          <w:i w:val="false"/>
          <w:color w:val="000000"/>
          <w:sz w:val="28"/>
        </w:rPr>
        <w:t>/V</w:t>
      </w:r>
      <w:r>
        <w:rPr>
          <w:rFonts w:ascii="Times New Roman"/>
          <w:b w:val="false"/>
          <w:i w:val="false"/>
          <w:color w:val="000000"/>
          <w:vertAlign w:val="subscript"/>
        </w:rPr>
        <w:t>вдс</w:t>
      </w:r>
      <w:r>
        <w:rPr>
          <w:rFonts w:ascii="Times New Roman"/>
          <w:b w:val="false"/>
          <w:i w:val="false"/>
          <w:color w:val="000000"/>
          <w:vertAlign w:val="subscript"/>
        </w:rPr>
        <w:t>(</w:t>
      </w:r>
      <w:r>
        <w:rPr>
          <w:rFonts w:ascii="Times New Roman"/>
          <w:b w:val="false"/>
          <w:i w:val="false"/>
          <w:color w:val="000000"/>
          <w:vertAlign w:val="subscript"/>
        </w:rPr>
        <w:t>отч</w:t>
      </w:r>
      <w:r>
        <w:rPr>
          <w:rFonts w:ascii="Times New Roman"/>
          <w:b w:val="false"/>
          <w:i w:val="false"/>
          <w:color w:val="000000"/>
          <w:vertAlign w:val="subscript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* 100, где: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KРN</w:t>
      </w:r>
      <w:r>
        <w:rPr>
          <w:rFonts w:ascii="Times New Roman"/>
          <w:b w:val="false"/>
          <w:i w:val="false"/>
          <w:color w:val="000000"/>
          <w:vertAlign w:val="subscript"/>
        </w:rPr>
        <w:t>отч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фактические поступления КПН от субъектов крупного предпринимательства ненефтяного сектора за отчетный финансовый год;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вдс</w:t>
      </w:r>
      <w:r>
        <w:rPr>
          <w:rFonts w:ascii="Times New Roman"/>
          <w:b w:val="false"/>
          <w:i w:val="false"/>
          <w:color w:val="000000"/>
          <w:vertAlign w:val="subscript"/>
        </w:rPr>
        <w:t>(</w:t>
      </w:r>
      <w:r>
        <w:rPr>
          <w:rFonts w:ascii="Times New Roman"/>
          <w:b w:val="false"/>
          <w:i w:val="false"/>
          <w:color w:val="000000"/>
          <w:vertAlign w:val="subscript"/>
        </w:rPr>
        <w:t>отч</w:t>
      </w:r>
      <w:r>
        <w:rPr>
          <w:rFonts w:ascii="Times New Roman"/>
          <w:b w:val="false"/>
          <w:i w:val="false"/>
          <w:color w:val="000000"/>
          <w:vertAlign w:val="subscript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ВДС ненефтяного сектора за отчетный финансовый год;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KРN</w:t>
      </w:r>
      <w:r>
        <w:rPr>
          <w:rFonts w:ascii="Times New Roman"/>
          <w:b w:val="false"/>
          <w:i w:val="false"/>
          <w:color w:val="000000"/>
          <w:vertAlign w:val="subscript"/>
        </w:rPr>
        <w:t>п2</w:t>
      </w:r>
      <w:r>
        <w:rPr>
          <w:rFonts w:ascii="Times New Roman"/>
          <w:b w:val="false"/>
          <w:i w:val="false"/>
          <w:color w:val="000000"/>
          <w:sz w:val="28"/>
        </w:rPr>
        <w:t xml:space="preserve"> = ((V</w:t>
      </w:r>
      <w:r>
        <w:rPr>
          <w:rFonts w:ascii="Times New Roman"/>
          <w:b w:val="false"/>
          <w:i w:val="false"/>
          <w:color w:val="000000"/>
          <w:vertAlign w:val="subscript"/>
        </w:rPr>
        <w:t>вдс</w:t>
      </w:r>
      <w:r>
        <w:rPr>
          <w:rFonts w:ascii="Times New Roman"/>
          <w:b w:val="false"/>
          <w:i w:val="false"/>
          <w:color w:val="000000"/>
          <w:vertAlign w:val="subscript"/>
        </w:rPr>
        <w:t>(</w:t>
      </w:r>
      <w:r>
        <w:rPr>
          <w:rFonts w:ascii="Times New Roman"/>
          <w:b w:val="false"/>
          <w:i w:val="false"/>
          <w:color w:val="000000"/>
          <w:vertAlign w:val="subscript"/>
        </w:rPr>
        <w:t>п.н2)</w:t>
      </w:r>
      <w:r>
        <w:rPr>
          <w:rFonts w:ascii="Times New Roman"/>
          <w:b w:val="false"/>
          <w:i w:val="false"/>
          <w:color w:val="000000"/>
          <w:sz w:val="28"/>
        </w:rPr>
        <w:t xml:space="preserve"> + V</w:t>
      </w:r>
      <w:r>
        <w:rPr>
          <w:rFonts w:ascii="Times New Roman"/>
          <w:b w:val="false"/>
          <w:i w:val="false"/>
          <w:color w:val="000000"/>
          <w:vertAlign w:val="subscript"/>
        </w:rPr>
        <w:t>вдс</w:t>
      </w:r>
      <w:r>
        <w:rPr>
          <w:rFonts w:ascii="Times New Roman"/>
          <w:b w:val="false"/>
          <w:i w:val="false"/>
          <w:color w:val="000000"/>
          <w:vertAlign w:val="subscript"/>
        </w:rPr>
        <w:t>(п.н3)</w:t>
      </w:r>
      <w:r>
        <w:rPr>
          <w:rFonts w:ascii="Times New Roman"/>
          <w:b w:val="false"/>
          <w:i w:val="false"/>
          <w:color w:val="000000"/>
          <w:sz w:val="28"/>
        </w:rPr>
        <w:t>) * S</w:t>
      </w:r>
      <w:r>
        <w:rPr>
          <w:rFonts w:ascii="Times New Roman"/>
          <w:b w:val="false"/>
          <w:i w:val="false"/>
          <w:color w:val="000000"/>
          <w:vertAlign w:val="subscript"/>
        </w:rPr>
        <w:t>отч</w:t>
      </w:r>
      <w:r>
        <w:rPr>
          <w:rFonts w:ascii="Times New Roman"/>
          <w:b w:val="false"/>
          <w:i w:val="false"/>
          <w:color w:val="000000"/>
          <w:sz w:val="28"/>
        </w:rPr>
        <w:t>) + NA, где: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KРN</w:t>
      </w:r>
      <w:r>
        <w:rPr>
          <w:rFonts w:ascii="Times New Roman"/>
          <w:b w:val="false"/>
          <w:i w:val="false"/>
          <w:color w:val="000000"/>
          <w:vertAlign w:val="subscript"/>
        </w:rPr>
        <w:t>п2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сумма КПН от субъектов крупного предпринимательства, формирующих ВДС вторичного и третичного нефтяного сектора;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вдс</w:t>
      </w:r>
      <w:r>
        <w:rPr>
          <w:rFonts w:ascii="Times New Roman"/>
          <w:b w:val="false"/>
          <w:i w:val="false"/>
          <w:color w:val="000000"/>
          <w:vertAlign w:val="subscript"/>
        </w:rPr>
        <w:t>(</w:t>
      </w:r>
      <w:r>
        <w:rPr>
          <w:rFonts w:ascii="Times New Roman"/>
          <w:b w:val="false"/>
          <w:i w:val="false"/>
          <w:color w:val="000000"/>
          <w:vertAlign w:val="subscript"/>
        </w:rPr>
        <w:t>п.н2)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прогнозный объем ВДС нефтяного вторичного сектора;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вдс</w:t>
      </w:r>
      <w:r>
        <w:rPr>
          <w:rFonts w:ascii="Times New Roman"/>
          <w:b w:val="false"/>
          <w:i w:val="false"/>
          <w:color w:val="000000"/>
          <w:vertAlign w:val="subscript"/>
        </w:rPr>
        <w:t>(</w:t>
      </w:r>
      <w:r>
        <w:rPr>
          <w:rFonts w:ascii="Times New Roman"/>
          <w:b w:val="false"/>
          <w:i w:val="false"/>
          <w:color w:val="000000"/>
          <w:vertAlign w:val="subscript"/>
        </w:rPr>
        <w:t>п.н3)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прогнозный объем ВДС нефтяного третичного сектора;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отч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эффективная ставка КПН от субъектов крупного предпринимательства, формирующих ВДС вторичного и третичного нефтяного сектора за отчетный финансовый год, %;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NA – налоговое и таможенное администрирование (0,3% к ВДС нефтяного вторичного и третичного секторов ПСЭР в номинальном выражении);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отч</w:t>
      </w:r>
      <w:r>
        <w:rPr>
          <w:rFonts w:ascii="Times New Roman"/>
          <w:b w:val="false"/>
          <w:i w:val="false"/>
          <w:color w:val="000000"/>
          <w:sz w:val="28"/>
        </w:rPr>
        <w:t xml:space="preserve"> = KРN</w:t>
      </w:r>
      <w:r>
        <w:rPr>
          <w:rFonts w:ascii="Times New Roman"/>
          <w:b w:val="false"/>
          <w:i w:val="false"/>
          <w:color w:val="000000"/>
          <w:vertAlign w:val="subscript"/>
        </w:rPr>
        <w:t>отч</w:t>
      </w:r>
      <w:r>
        <w:rPr>
          <w:rFonts w:ascii="Times New Roman"/>
          <w:b w:val="false"/>
          <w:i w:val="false"/>
          <w:color w:val="000000"/>
          <w:sz w:val="28"/>
        </w:rPr>
        <w:t>/(V</w:t>
      </w:r>
      <w:r>
        <w:rPr>
          <w:rFonts w:ascii="Times New Roman"/>
          <w:b w:val="false"/>
          <w:i w:val="false"/>
          <w:color w:val="000000"/>
          <w:vertAlign w:val="subscript"/>
        </w:rPr>
        <w:t>вдс</w:t>
      </w:r>
      <w:r>
        <w:rPr>
          <w:rFonts w:ascii="Times New Roman"/>
          <w:b w:val="false"/>
          <w:i w:val="false"/>
          <w:color w:val="000000"/>
          <w:vertAlign w:val="subscript"/>
        </w:rPr>
        <w:t>(</w:t>
      </w:r>
      <w:r>
        <w:rPr>
          <w:rFonts w:ascii="Times New Roman"/>
          <w:b w:val="false"/>
          <w:i w:val="false"/>
          <w:color w:val="000000"/>
          <w:vertAlign w:val="subscript"/>
        </w:rPr>
        <w:t>отч.н</w:t>
      </w:r>
      <w:r>
        <w:rPr>
          <w:rFonts w:ascii="Times New Roman"/>
          <w:b w:val="false"/>
          <w:i w:val="false"/>
          <w:color w:val="000000"/>
          <w:vertAlign w:val="sub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+ V</w:t>
      </w:r>
      <w:r>
        <w:rPr>
          <w:rFonts w:ascii="Times New Roman"/>
          <w:b w:val="false"/>
          <w:i w:val="false"/>
          <w:color w:val="000000"/>
          <w:vertAlign w:val="subscript"/>
        </w:rPr>
        <w:t>вдс</w:t>
      </w:r>
      <w:r>
        <w:rPr>
          <w:rFonts w:ascii="Times New Roman"/>
          <w:b w:val="false"/>
          <w:i w:val="false"/>
          <w:color w:val="000000"/>
          <w:vertAlign w:val="subscript"/>
        </w:rPr>
        <w:t>(отч.н3)</w:t>
      </w:r>
      <w:r>
        <w:rPr>
          <w:rFonts w:ascii="Times New Roman"/>
          <w:b w:val="false"/>
          <w:i w:val="false"/>
          <w:color w:val="000000"/>
          <w:sz w:val="28"/>
        </w:rPr>
        <w:t>) * 100, где: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KРN</w:t>
      </w:r>
      <w:r>
        <w:rPr>
          <w:rFonts w:ascii="Times New Roman"/>
          <w:b w:val="false"/>
          <w:i w:val="false"/>
          <w:color w:val="000000"/>
          <w:vertAlign w:val="subscript"/>
        </w:rPr>
        <w:t>отч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фактические поступления КПН от субъектов крупного предпринимательства, формирующих ВДС вторичного и третичного нефтяного сектора за отчетный финансовый год;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вдс</w:t>
      </w:r>
      <w:r>
        <w:rPr>
          <w:rFonts w:ascii="Times New Roman"/>
          <w:b w:val="false"/>
          <w:i w:val="false"/>
          <w:color w:val="000000"/>
          <w:vertAlign w:val="subscript"/>
        </w:rPr>
        <w:t>(</w:t>
      </w:r>
      <w:r>
        <w:rPr>
          <w:rFonts w:ascii="Times New Roman"/>
          <w:b w:val="false"/>
          <w:i w:val="false"/>
          <w:color w:val="000000"/>
          <w:vertAlign w:val="subscript"/>
        </w:rPr>
        <w:t>отч.н</w:t>
      </w:r>
      <w:r>
        <w:rPr>
          <w:rFonts w:ascii="Times New Roman"/>
          <w:b w:val="false"/>
          <w:i w:val="false"/>
          <w:color w:val="000000"/>
          <w:vertAlign w:val="subscript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ВДС нефтяного вторичного сектора ПСЭР за отчетный финансовый год.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вдс</w:t>
      </w:r>
      <w:r>
        <w:rPr>
          <w:rFonts w:ascii="Times New Roman"/>
          <w:b w:val="false"/>
          <w:i w:val="false"/>
          <w:color w:val="000000"/>
          <w:vertAlign w:val="subscript"/>
        </w:rPr>
        <w:t>(</w:t>
      </w:r>
      <w:r>
        <w:rPr>
          <w:rFonts w:ascii="Times New Roman"/>
          <w:b w:val="false"/>
          <w:i w:val="false"/>
          <w:color w:val="000000"/>
          <w:vertAlign w:val="subscript"/>
        </w:rPr>
        <w:t>отч.н</w:t>
      </w:r>
      <w:r>
        <w:rPr>
          <w:rFonts w:ascii="Times New Roman"/>
          <w:b w:val="false"/>
          <w:i w:val="false"/>
          <w:color w:val="000000"/>
          <w:vertAlign w:val="subscript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ВДС нефтяного третичного сектора ПСЭР за отчетный финансовый год.";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Прогноз налога на добавленную стоимость (далее – НДС) на произведенные товары, выполненные работы и оказанные услуги на территории Республики Казахстан определяется на основе прогнозируемого валового внутреннего продукта (далее – ВВП) в соответствии с ПСЭР и эффективной ставки по следующей формуле: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NDS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>(п)</w:t>
      </w:r>
      <w:r>
        <w:rPr>
          <w:rFonts w:ascii="Times New Roman"/>
          <w:b w:val="false"/>
          <w:i w:val="false"/>
          <w:color w:val="000000"/>
          <w:sz w:val="28"/>
        </w:rPr>
        <w:t xml:space="preserve"> = (V</w:t>
      </w:r>
      <w:r>
        <w:rPr>
          <w:rFonts w:ascii="Times New Roman"/>
          <w:b w:val="false"/>
          <w:i w:val="false"/>
          <w:color w:val="000000"/>
          <w:vertAlign w:val="subscript"/>
        </w:rPr>
        <w:t>ввп</w:t>
      </w:r>
      <w:r>
        <w:rPr>
          <w:rFonts w:ascii="Times New Roman"/>
          <w:b w:val="false"/>
          <w:i w:val="false"/>
          <w:color w:val="000000"/>
          <w:vertAlign w:val="subscript"/>
        </w:rPr>
        <w:t>(п)</w:t>
      </w:r>
      <w:r>
        <w:rPr>
          <w:rFonts w:ascii="Times New Roman"/>
          <w:b w:val="false"/>
          <w:i w:val="false"/>
          <w:color w:val="000000"/>
          <w:sz w:val="28"/>
        </w:rPr>
        <w:t xml:space="preserve"> * S) – X</w:t>
      </w:r>
      <w:r>
        <w:rPr>
          <w:rFonts w:ascii="Times New Roman"/>
          <w:b w:val="false"/>
          <w:i w:val="false"/>
          <w:color w:val="000000"/>
          <w:vertAlign w:val="subscript"/>
        </w:rPr>
        <w:t>(п)</w:t>
      </w:r>
      <w:r>
        <w:rPr>
          <w:rFonts w:ascii="Times New Roman"/>
          <w:b w:val="false"/>
          <w:i w:val="false"/>
          <w:color w:val="000000"/>
          <w:sz w:val="28"/>
        </w:rPr>
        <w:t xml:space="preserve"> + NA, где: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NDS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>(п)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сумма НДС;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ввп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(п)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прогнозный объем ВВП;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эффективная ставка НДС в размере 2,4 %;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(п)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сумма возврата НДС (в среднем за три года или данные уполномоченного органа);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NA – налоговое и таможенное администрирование (0,2 % к ВВП в номинальном выражении).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Прогноз по НДС на товары, импортируемые на территорию Республики Казахстан, определяется на основе прогнозируемого объема импорта, курса тенге к доллару США в соответствии с ПСЭР и эффективной ставки по следующей формуле: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NDS</w:t>
      </w:r>
      <w:r>
        <w:rPr>
          <w:rFonts w:ascii="Times New Roman"/>
          <w:b w:val="false"/>
          <w:i w:val="false"/>
          <w:color w:val="000000"/>
          <w:vertAlign w:val="subscript"/>
        </w:rPr>
        <w:t>им</w:t>
      </w:r>
      <w:r>
        <w:rPr>
          <w:rFonts w:ascii="Times New Roman"/>
          <w:b w:val="false"/>
          <w:i w:val="false"/>
          <w:color w:val="000000"/>
          <w:vertAlign w:val="subscript"/>
        </w:rPr>
        <w:t>(п)</w:t>
      </w:r>
      <w:r>
        <w:rPr>
          <w:rFonts w:ascii="Times New Roman"/>
          <w:b w:val="false"/>
          <w:i w:val="false"/>
          <w:color w:val="000000"/>
          <w:sz w:val="28"/>
        </w:rPr>
        <w:t xml:space="preserve"> = (V</w:t>
      </w:r>
      <w:r>
        <w:rPr>
          <w:rFonts w:ascii="Times New Roman"/>
          <w:b w:val="false"/>
          <w:i w:val="false"/>
          <w:color w:val="000000"/>
          <w:vertAlign w:val="subscript"/>
        </w:rPr>
        <w:t>им</w:t>
      </w:r>
      <w:r>
        <w:rPr>
          <w:rFonts w:ascii="Times New Roman"/>
          <w:b w:val="false"/>
          <w:i w:val="false"/>
          <w:color w:val="000000"/>
          <w:vertAlign w:val="subscript"/>
        </w:rPr>
        <w:t>(п)</w:t>
      </w:r>
      <w:r>
        <w:rPr>
          <w:rFonts w:ascii="Times New Roman"/>
          <w:b w:val="false"/>
          <w:i w:val="false"/>
          <w:color w:val="000000"/>
          <w:sz w:val="28"/>
        </w:rPr>
        <w:t xml:space="preserve"> * S) + NA, где: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NDS</w:t>
      </w:r>
      <w:r>
        <w:rPr>
          <w:rFonts w:ascii="Times New Roman"/>
          <w:b w:val="false"/>
          <w:i w:val="false"/>
          <w:color w:val="000000"/>
          <w:vertAlign w:val="subscript"/>
        </w:rPr>
        <w:t>им</w:t>
      </w:r>
      <w:r>
        <w:rPr>
          <w:rFonts w:ascii="Times New Roman"/>
          <w:b w:val="false"/>
          <w:i w:val="false"/>
          <w:color w:val="000000"/>
          <w:vertAlign w:val="subscript"/>
        </w:rPr>
        <w:t>(п)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сумма НДС на импортируемые товары;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им</w:t>
      </w:r>
      <w:r>
        <w:rPr>
          <w:rFonts w:ascii="Times New Roman"/>
          <w:b w:val="false"/>
          <w:i w:val="false"/>
          <w:color w:val="000000"/>
          <w:vertAlign w:val="subscript"/>
        </w:rPr>
        <w:t>(п)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прогнозный объем импорта, в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(</w:t>
      </w:r>
      <w:r>
        <w:rPr>
          <w:rFonts w:ascii="Times New Roman"/>
          <w:b w:val="false"/>
          <w:i w:val="false"/>
          <w:color w:val="000000"/>
          <w:vertAlign w:val="subscript"/>
        </w:rPr>
        <w:t>отч</w:t>
      </w:r>
      <w:r>
        <w:rPr>
          <w:rFonts w:ascii="Times New Roman"/>
          <w:b w:val="false"/>
          <w:i w:val="false"/>
          <w:color w:val="000000"/>
          <w:vertAlign w:val="subscript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эффективная ставка НДС за отчетный финансовый год, %;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NA – налоговое администрирование (0,2% к объему импорта),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(</w:t>
      </w:r>
      <w:r>
        <w:rPr>
          <w:rFonts w:ascii="Times New Roman"/>
          <w:b w:val="false"/>
          <w:i w:val="false"/>
          <w:color w:val="000000"/>
          <w:vertAlign w:val="subscript"/>
        </w:rPr>
        <w:t>отч</w:t>
      </w:r>
      <w:r>
        <w:rPr>
          <w:rFonts w:ascii="Times New Roman"/>
          <w:b w:val="false"/>
          <w:i w:val="false"/>
          <w:color w:val="000000"/>
          <w:vertAlign w:val="subscript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= NDS</w:t>
      </w:r>
      <w:r>
        <w:rPr>
          <w:rFonts w:ascii="Times New Roman"/>
          <w:b w:val="false"/>
          <w:i w:val="false"/>
          <w:color w:val="000000"/>
          <w:vertAlign w:val="subscript"/>
        </w:rPr>
        <w:t>им</w:t>
      </w:r>
      <w:r>
        <w:rPr>
          <w:rFonts w:ascii="Times New Roman"/>
          <w:b w:val="false"/>
          <w:i w:val="false"/>
          <w:color w:val="000000"/>
          <w:vertAlign w:val="subscript"/>
        </w:rPr>
        <w:t>(</w:t>
      </w:r>
      <w:r>
        <w:rPr>
          <w:rFonts w:ascii="Times New Roman"/>
          <w:b w:val="false"/>
          <w:i w:val="false"/>
          <w:color w:val="000000"/>
          <w:vertAlign w:val="subscript"/>
        </w:rPr>
        <w:t>отч</w:t>
      </w:r>
      <w:r>
        <w:rPr>
          <w:rFonts w:ascii="Times New Roman"/>
          <w:b w:val="false"/>
          <w:i w:val="false"/>
          <w:color w:val="000000"/>
          <w:vertAlign w:val="subscript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/V</w:t>
      </w:r>
      <w:r>
        <w:rPr>
          <w:rFonts w:ascii="Times New Roman"/>
          <w:b w:val="false"/>
          <w:i w:val="false"/>
          <w:color w:val="000000"/>
          <w:vertAlign w:val="subscript"/>
        </w:rPr>
        <w:t>им</w:t>
      </w:r>
      <w:r>
        <w:rPr>
          <w:rFonts w:ascii="Times New Roman"/>
          <w:b w:val="false"/>
          <w:i w:val="false"/>
          <w:color w:val="000000"/>
          <w:vertAlign w:val="subscript"/>
        </w:rPr>
        <w:t>(</w:t>
      </w:r>
      <w:r>
        <w:rPr>
          <w:rFonts w:ascii="Times New Roman"/>
          <w:b w:val="false"/>
          <w:i w:val="false"/>
          <w:color w:val="000000"/>
          <w:vertAlign w:val="subscript"/>
        </w:rPr>
        <w:t>отч</w:t>
      </w:r>
      <w:r>
        <w:rPr>
          <w:rFonts w:ascii="Times New Roman"/>
          <w:b w:val="false"/>
          <w:i w:val="false"/>
          <w:color w:val="000000"/>
          <w:vertAlign w:val="subscript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* 100, где: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NDS</w:t>
      </w:r>
      <w:r>
        <w:rPr>
          <w:rFonts w:ascii="Times New Roman"/>
          <w:b w:val="false"/>
          <w:i w:val="false"/>
          <w:color w:val="000000"/>
          <w:vertAlign w:val="subscript"/>
        </w:rPr>
        <w:t>им</w:t>
      </w:r>
      <w:r>
        <w:rPr>
          <w:rFonts w:ascii="Times New Roman"/>
          <w:b w:val="false"/>
          <w:i w:val="false"/>
          <w:color w:val="000000"/>
          <w:vertAlign w:val="subscript"/>
        </w:rPr>
        <w:t>(</w:t>
      </w:r>
      <w:r>
        <w:rPr>
          <w:rFonts w:ascii="Times New Roman"/>
          <w:b w:val="false"/>
          <w:i w:val="false"/>
          <w:color w:val="000000"/>
          <w:vertAlign w:val="subscript"/>
        </w:rPr>
        <w:t>отч</w:t>
      </w:r>
      <w:r>
        <w:rPr>
          <w:rFonts w:ascii="Times New Roman"/>
          <w:b w:val="false"/>
          <w:i w:val="false"/>
          <w:color w:val="000000"/>
          <w:vertAlign w:val="subscript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фактические поступления НДС на импортируемые товары за отчетный финансовый год;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им</w:t>
      </w:r>
      <w:r>
        <w:rPr>
          <w:rFonts w:ascii="Times New Roman"/>
          <w:b w:val="false"/>
          <w:i w:val="false"/>
          <w:color w:val="000000"/>
          <w:vertAlign w:val="subscript"/>
        </w:rPr>
        <w:t>(</w:t>
      </w:r>
      <w:r>
        <w:rPr>
          <w:rFonts w:ascii="Times New Roman"/>
          <w:b w:val="false"/>
          <w:i w:val="false"/>
          <w:color w:val="000000"/>
          <w:vertAlign w:val="subscript"/>
        </w:rPr>
        <w:t>отч</w:t>
      </w:r>
      <w:r>
        <w:rPr>
          <w:rFonts w:ascii="Times New Roman"/>
          <w:b w:val="false"/>
          <w:i w:val="false"/>
          <w:color w:val="000000"/>
          <w:vertAlign w:val="subscript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импорта по отчетному финансовому году в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Прогноз поступления бонусов по недропользователям, за исключением организаций нефтяного сектора определяется на основе динамики поступлений за последние три года.";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К другим платежам, зачисляемым в республиканский бюджет,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относятся: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предоставление междугородной и (или) международной телефонной связи, а также сотовой связи;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использование радиочастотного спектра;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использование особо охраняемых природных территорий республиканского значения;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цифровой майнинг;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проезд автотранспортных средств по территории Республики Казахстан;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выдачу разрешения на использование радиочастотного спектра телевизионным и радиовещательным организациям;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выдачу разрешительных документов, согласия для участников банковского и страхового рынков;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выдачу сертификатов, выдаваемых уполномоченной организацией в сфере гражданской авиации, на соответствие сертификационным требованиям, установленным законодательством Республики Казахстан, регулирующим использование воздушного пространства Республики Казахстан и деятельность авиации;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лекарственных средств и медицинских изделий, а также их перерегистрацию;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постановку на учет теле-, радиоканала, периодического печатного издания информационного агентства и сетевого издания;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космических объектов и прав на них;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выдачу лицензии, связанной с правом занятия отдельными подвидами деятельности в сфере углеводородов;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выдачу документа, подтверждающего резидентство иностранца или лица без гражданства, являющегося инвестиционным резидентом Международного финансового центра "Астана";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9-1 следующего содержания: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"Параграф 9-1. Платеж по возмещению исторических затрат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76-1. Прогноз поступлений платежа по возмещению исторических затрат определяется методом усредненного расчета по формуле: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iп</w:t>
      </w:r>
      <w:r>
        <w:rPr>
          <w:rFonts w:ascii="Times New Roman"/>
          <w:b w:val="false"/>
          <w:i w:val="false"/>
          <w:color w:val="000000"/>
          <w:sz w:val="28"/>
        </w:rPr>
        <w:t xml:space="preserve"> = P</w:t>
      </w:r>
      <w:r>
        <w:rPr>
          <w:rFonts w:ascii="Times New Roman"/>
          <w:b w:val="false"/>
          <w:i w:val="false"/>
          <w:color w:val="000000"/>
          <w:vertAlign w:val="subscript"/>
        </w:rPr>
        <w:t>iоц</w:t>
      </w:r>
      <w:r>
        <w:rPr>
          <w:rFonts w:ascii="Times New Roman"/>
          <w:b w:val="false"/>
          <w:i w:val="false"/>
          <w:color w:val="000000"/>
          <w:sz w:val="28"/>
        </w:rPr>
        <w:t xml:space="preserve"> * T</w:t>
      </w:r>
      <w:r>
        <w:rPr>
          <w:rFonts w:ascii="Times New Roman"/>
          <w:b w:val="false"/>
          <w:i w:val="false"/>
          <w:color w:val="000000"/>
          <w:vertAlign w:val="subscript"/>
        </w:rPr>
        <w:t>rсрд</w:t>
      </w:r>
      <w:r>
        <w:rPr>
          <w:rFonts w:ascii="Times New Roman"/>
          <w:b w:val="false"/>
          <w:i w:val="false"/>
          <w:color w:val="000000"/>
          <w:vertAlign w:val="subscript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iп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сумма платежа по возмещению исторических затрат;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ioц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платежа по возмещению исторических затрат по текущему финансовому году;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rсрд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средний темп роста за три года, %,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rсрд</w:t>
      </w:r>
      <w:r>
        <w:rPr>
          <w:rFonts w:ascii="Times New Roman"/>
          <w:b w:val="false"/>
          <w:i w:val="false"/>
          <w:color w:val="000000"/>
          <w:sz w:val="28"/>
        </w:rPr>
        <w:t xml:space="preserve"> = (T</w:t>
      </w:r>
      <w:r>
        <w:rPr>
          <w:rFonts w:ascii="Times New Roman"/>
          <w:b w:val="false"/>
          <w:i w:val="false"/>
          <w:color w:val="000000"/>
          <w:vertAlign w:val="subscript"/>
        </w:rPr>
        <w:t>rотч</w:t>
      </w:r>
      <w:r>
        <w:rPr>
          <w:rFonts w:ascii="Times New Roman"/>
          <w:b w:val="false"/>
          <w:i w:val="false"/>
          <w:color w:val="000000"/>
          <w:vertAlign w:val="subscript"/>
        </w:rPr>
        <w:t>(1год)</w:t>
      </w:r>
      <w:r>
        <w:rPr>
          <w:rFonts w:ascii="Times New Roman"/>
          <w:b w:val="false"/>
          <w:i w:val="false"/>
          <w:color w:val="000000"/>
          <w:sz w:val="28"/>
        </w:rPr>
        <w:t xml:space="preserve"> + T</w:t>
      </w:r>
      <w:r>
        <w:rPr>
          <w:rFonts w:ascii="Times New Roman"/>
          <w:b w:val="false"/>
          <w:i w:val="false"/>
          <w:color w:val="000000"/>
          <w:vertAlign w:val="subscript"/>
        </w:rPr>
        <w:t>rотч</w:t>
      </w:r>
      <w:r>
        <w:rPr>
          <w:rFonts w:ascii="Times New Roman"/>
          <w:b w:val="false"/>
          <w:i w:val="false"/>
          <w:color w:val="000000"/>
          <w:vertAlign w:val="subscript"/>
        </w:rPr>
        <w:t>(2год)</w:t>
      </w:r>
      <w:r>
        <w:rPr>
          <w:rFonts w:ascii="Times New Roman"/>
          <w:b w:val="false"/>
          <w:i w:val="false"/>
          <w:color w:val="000000"/>
          <w:sz w:val="28"/>
        </w:rPr>
        <w:t xml:space="preserve"> + T</w:t>
      </w:r>
      <w:r>
        <w:rPr>
          <w:rFonts w:ascii="Times New Roman"/>
          <w:b w:val="false"/>
          <w:i w:val="false"/>
          <w:color w:val="000000"/>
          <w:vertAlign w:val="subscript"/>
        </w:rPr>
        <w:t>rотч</w:t>
      </w:r>
      <w:r>
        <w:rPr>
          <w:rFonts w:ascii="Times New Roman"/>
          <w:b w:val="false"/>
          <w:i w:val="false"/>
          <w:color w:val="000000"/>
          <w:vertAlign w:val="subscript"/>
        </w:rPr>
        <w:t>(3год)</w:t>
      </w:r>
      <w:r>
        <w:rPr>
          <w:rFonts w:ascii="Times New Roman"/>
          <w:b w:val="false"/>
          <w:i w:val="false"/>
          <w:color w:val="000000"/>
          <w:sz w:val="28"/>
        </w:rPr>
        <w:t>)/3, где: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rотч</w:t>
      </w:r>
      <w:r>
        <w:rPr>
          <w:rFonts w:ascii="Times New Roman"/>
          <w:b w:val="false"/>
          <w:i w:val="false"/>
          <w:color w:val="000000"/>
          <w:vertAlign w:val="subscript"/>
        </w:rPr>
        <w:t>(1год)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темп роста поступлений платежа по возмещению исторических затрат первого года, %;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rотч</w:t>
      </w:r>
      <w:r>
        <w:rPr>
          <w:rFonts w:ascii="Times New Roman"/>
          <w:b w:val="false"/>
          <w:i w:val="false"/>
          <w:color w:val="000000"/>
          <w:vertAlign w:val="subscript"/>
        </w:rPr>
        <w:t>(2год)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темп роста поступлений платежа по возмещению исторических затрат второго года, %;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rотч</w:t>
      </w:r>
      <w:r>
        <w:rPr>
          <w:rFonts w:ascii="Times New Roman"/>
          <w:b w:val="false"/>
          <w:i w:val="false"/>
          <w:color w:val="000000"/>
          <w:vertAlign w:val="subscript"/>
        </w:rPr>
        <w:t>(3год)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темп роста поступлений платежа по возмещению исторических затрат третьего года, %.";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"77. К платам и сборам, зачисляемым в бюджеты областей, городов республиканского значения, столицы,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относятся: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водными ресурсами поверхностных источников;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лесные пользования;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животным миром;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использование особо охраняемых природных территорий местного значения;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негативное воздействие на окружающую среду; 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растительными ресурсами в порядке специального пользования растительным миром;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республиканского значения, столицы, в полосе отвода автомобильных дорог общего пользования, проходящих через территорию города республиканского значения, столицы;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выдачу или продление разрешения на привлечение иностранной рабочей силы в Республику Казахстан;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судна, а также государственную регистрацию безотзывного полномочия на дерегистрацию и вывоз воздушного судна;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12 следующего содержания:</w:t>
      </w:r>
    </w:p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"Параграф 12. Прогнозирование поступлений в Национальный фонд Республики Казахстан по цене отсечения 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Бюджетного кодекса Республики Казахстан объем гарантированного трансферта из Национального фонда Республики Казахстан не превышает объем прогнозируемых поступлений в Национальный фонд Республики Казахстан при цене отсечения. Цена отсечения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марта 2022 года № 21 "Об утверждении Правил определения цены отсечения" (зарегистрирован в Реестре государственной регистрации нормативных правовых актов за № 27070).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Прогнозирование налоговых поступлений осуществляется на основе объема добычи нефти, экспорта нефти, мировой цены на нефть марки Brent [Брент] и курса тенге к доллару США.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Прогноз поступлений определяется путем применения средней эффективной ставки за последние пять лет по налогам по следующей формуле: 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Nalog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= D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* Z * S</w:t>
      </w:r>
      <w:r>
        <w:rPr>
          <w:rFonts w:ascii="Times New Roman"/>
          <w:b w:val="false"/>
          <w:i w:val="false"/>
          <w:color w:val="000000"/>
          <w:vertAlign w:val="subscript"/>
        </w:rPr>
        <w:t>сред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Nalog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сумма налога от организаций нефтяного сектора;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прогнозируемый объем добычи нефти, газового конденсат;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средняя цена реализации нефти;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сред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эффективная ставка за последние пять лет, %.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Эффективная ставка за отчетный финансовый год определяется по следующей формуле: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отч</w:t>
      </w:r>
      <w:r>
        <w:rPr>
          <w:rFonts w:ascii="Times New Roman"/>
          <w:b w:val="false"/>
          <w:i w:val="false"/>
          <w:color w:val="000000"/>
          <w:sz w:val="28"/>
        </w:rPr>
        <w:t xml:space="preserve"> = Nalog</w:t>
      </w:r>
      <w:r>
        <w:rPr>
          <w:rFonts w:ascii="Times New Roman"/>
          <w:b w:val="false"/>
          <w:i w:val="false"/>
          <w:color w:val="000000"/>
          <w:vertAlign w:val="subscript"/>
        </w:rPr>
        <w:t>отч</w:t>
      </w:r>
      <w:r>
        <w:rPr>
          <w:rFonts w:ascii="Times New Roman"/>
          <w:b w:val="false"/>
          <w:i w:val="false"/>
          <w:color w:val="000000"/>
          <w:sz w:val="28"/>
        </w:rPr>
        <w:t>/ (D</w:t>
      </w:r>
      <w:r>
        <w:rPr>
          <w:rFonts w:ascii="Times New Roman"/>
          <w:b w:val="false"/>
          <w:i w:val="false"/>
          <w:color w:val="000000"/>
          <w:vertAlign w:val="subscript"/>
        </w:rPr>
        <w:t>отч</w:t>
      </w:r>
      <w:r>
        <w:rPr>
          <w:rFonts w:ascii="Times New Roman"/>
          <w:b w:val="false"/>
          <w:i w:val="false"/>
          <w:color w:val="000000"/>
          <w:sz w:val="28"/>
        </w:rPr>
        <w:t xml:space="preserve"> * Z</w:t>
      </w:r>
      <w:r>
        <w:rPr>
          <w:rFonts w:ascii="Times New Roman"/>
          <w:b w:val="false"/>
          <w:i w:val="false"/>
          <w:color w:val="000000"/>
          <w:vertAlign w:val="subscript"/>
        </w:rPr>
        <w:t>отч</w:t>
      </w:r>
      <w:r>
        <w:rPr>
          <w:rFonts w:ascii="Times New Roman"/>
          <w:b w:val="false"/>
          <w:i w:val="false"/>
          <w:color w:val="000000"/>
          <w:sz w:val="28"/>
        </w:rPr>
        <w:t>), где: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отч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эффективная ставка отчетного финансового года;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Nalog</w:t>
      </w:r>
      <w:r>
        <w:rPr>
          <w:rFonts w:ascii="Times New Roman"/>
          <w:b w:val="false"/>
          <w:i w:val="false"/>
          <w:color w:val="000000"/>
          <w:vertAlign w:val="subscript"/>
        </w:rPr>
        <w:t>отч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фактическое поступление налога от организаций нефтяного сектора за отчетный финансовый год;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vertAlign w:val="subscript"/>
        </w:rPr>
        <w:t>отч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фактический объем добычи нефти, газового конденсата отчетного финансового года;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Zотч – фактическая цена на нефти отчетного финансового года".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При определении средней цены реализации нефти мировая цена на нефть пересчитывается на прогнозируемый курс тенге к доллару США и на коэффициент перевода баррель в тонны, который равен 7,5.".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налоговой и таможенной политики в установленном законодательством порядке обеспечить: 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3" w:id="1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