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23bb" w14:textId="2ae2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5 мая 2020 года № 456 "Об утверждении форм реестра требований кредиторов, Правил и сроков его формирования временным администратором и временным управляющ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февраля 2023 года № 223. Зарегистрирован в Министерстве юстиции Республики Казахстан 1 марта 2023 года № 319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5 мая 2020 года № 456 "Об утверждении форм реестра требований кредиторов, Правил и сроков его формирования временным администратором и временным управляющим" (зарегистрирован в Реестре государственной регистрации нормативных правовых актов под № 205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формирования временным администратором и временным управляющим реестра требований кредитор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целях удовлетворения требований кредиторов и обеспечения их интересов временным администратором в срок не позднее 2 (двух) месяцев со дня вынесения определения суда о возбуждении дела о реабилитации формируется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ременный администратор в срок не позднее 2 (двух) месяцев со дня вынесения определения суда о возбуждении дела о реабилитации направляет в территориальный орган государственных доходов реестр для размещения на интернет-ресурсе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