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2af" w14:textId="3a23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2018 года № 198 "Об утверждении Правил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января 2023 года № 1. Зарегистрировано в Министерстве юстиции Республики Казахстан 30 января 2023 года № 31813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198 "Об утверждении Правил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Казахстан" (зарегистрировано в Реестре государственной регистрации нормативных правовых актов под № 17462)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андеррайтинг -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покрытия, условий страхования, уровня франшизы и страхового тарифа в пределах, установленных актуарием;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управленческая отчетность - инструмент внутреннего контроля и оценки деятельности организации;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гэп-анализ - методы измерения процентного риска и риска ликвидности на основе сравнения объема активов и обязательств организации, подверженных изменениям ставок вознаграждения или подлежащих погашению в течение определенных сроков;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лимитирование - установление качественных, количественных ограничений принимаемых рисков, установление ограничений на сделки (операции) организации.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лимитировании определяются следующие параметры: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показатель, на который устанавливается лимит;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расчета показателя, на который устанавливается лимит;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предельное (максимальное, минимальное) значение показателя;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конфликт интересов - ситуация, при которой возникает противоречие между личной заинтересованностью должностных лиц организации и (или) его работников и надлежащим исполнением ими своих должностных полномочий или имущественными и иными интересами организации и (или) его работников и (или) клиентов, которое может повлечь за собой неблагоприятные последствия для организации и (или) его клиентов;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политика - совокупность внутренних документов, включающих в себя политику и (или) иные внутренние документы, определяющие необходимые критерии, параметры, подходы, принципы, стандарты, процедуры и механизмы, обеспечивающие эффективное функционирование организации и соответствие ее деятельности стратегии и допустимому уровню риска;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стресс-тестирование - методы измерения потенциального влияния на финансовое положение организации исключительных, но возможных событий, которые могут оказать влияние на деятельность организации;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 - возможность появления обстоятельств, обусловливающих неуверенность или невозможность получения ожидаемых результатов деятельности организации, возникновения расходов (убытков);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оценки рисков - совокупность коэффициентов, предназначенных для комплексного анализа финансового состояния организации;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управления рисками - постоянный структурированный процесс, установленный советом директоров и правлением организации, осуществляемый в рамках всей организации в целях выявления, оценки, мониторинга, снижения рисков и их последствий, влияющих на достижение целей организации;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карта риска - графическое и текстовое описание рисков организации, расположенных в таблице, по одной "оси" по которой указана сила воздействия или значимость риска, а по другой вероятность или частота его возникновения;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лимит риска - средство количественного либо качественного ограничения принимаемого риска;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идентификация риска – процесс нахождения, составления перечня и описания элементов риска;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измерение риска - определение степени вероятности риска и размеров потенциальных расходов (убытков),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- уполномоченный орган по регулированию, контролю и надзору финансового рынка и финансовых организаций;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внутренний аудит - неотъемлемый элемент управленческого контроля, посредством которого служба внутреннего аудита оценивает финансовую отчетность, а также другие данные и информацию,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деятельности, об обязательном страховании, об акционерных обществах, о рынке ценных бумаг, о противодействии легализации (отмыванию) доходов, полученных преступным путем, и финансированию терроризма, внутренним документам, международным профессиональным стандартам внутреннего аудита;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внутренний контроль — это процесс, осуществляемый советом директоров, коллегиальными органами, правлением, работниками организации, направленный на обеспечение достижения целей по следующим категориям: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надежность, полнота и своевременность финансовой отчетности и иной управленческой отчетности;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законодательства Республики Казахстан о страховании и страховой деятельности, об обязательном страховании, об акционерных обществах, о рынке ценных бумаг, о противодействии легализации (отмыванию) доходов, полученных преступным путем, и финансированию терроризма;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 внутреннего контроля - совокупность контрольных процедур, мероприятий и методик, обеспечивающая: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надлежащее и эффективное ведение финансово-хозяйственной деятельности организации;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законодательства Республики Казахстан о страховании и страховой деятельности, об обязательном страховании, об акционерных обществах, о рынке ценных бумаг, о противодействии легализации (отмыванию) доходов, полученных преступным путем, и финансированию терроризма;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разделение ответственности;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надлежащее исполнение работниками организации требований внутренних документов;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имущества;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 выявление фактов мошенничества и управленческих ошибок;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подготовки, достоверность и полноту финансовой отчетности и иной управленческой отчетности.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требований Правил к филиалу страховой (перестраховочной) организации-нерезидента Республики Казахстан: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советом директоров понимается соответствующий орган управления страховой (перестраховочной) организации-нерезидента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правлением понимаются руководящие работники филиала страховой (перестраховочной) организации-нерезидента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капиталом подразумевается сумма счета головного офиса, резервов и результатов деятельности филиала страховой (перестраховочной) организации-нерезидента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финансовой отчетностью понимается отчетность по данным бухгалтерского учета филиалов страховых (перестраховочных) организаций-нерезидентов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 не распространяются на филиал страховой (перестраховочной) организации-нерезидента Республики Казахстан в части соблюдения требований законодательства об акционерных обществах и рынке ценных бумаг, а также пунктов 13-1, 13-2 Правил.";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Риски организации классифицируются следующим образом: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риски, связанные с осуществлением страховой деятельности: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андеррайтинга - риск неправильной (ошибочной) оценки принимаемых на страхование рисков;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страховых резервов - риск формирования недостаточных (неадекватных) страховых резервов;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страховых выплат - риск, связанный с осуществлением страховых выплат в нарушение условий договоров страхования;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катастрофический риск - риск того, что одно событие значительного размера приведет к страховым выплатам выше обычного;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перестрахования - риск недостаточного перестраховочного покрытия или неспособности перестраховщика осуществить выплату по договору перестрахования.";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Процесс управления рисками включает следующие этапы: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рисков: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рискообразующих факторов и риска (систематическое и постоянное отслеживание, анализ всех возможных причин расходов (убытков), их вероятности и размеров);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рисков (осуществляется по результатам исследования специфики рисков и факторов, которые приводят к их возникновению, влияют на их развитие, экспертных оценок исторических данных, анализа карты рисков);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рисков, периодичность проведения которых устанавливается советом директоров в зависимости от значимости риска, но не реже двух раз в год;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регулярного стресс-тестирования и анализа рисков;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и применение метода управления рисками;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корректирование системы управления рисками.";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Организация на основании финансовой и иной отчетности организации на отчетную дату осуществляет стресс- тестирование по рискам.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представляет в уполномоченный орган стресс-тестирование по рискам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ежеквартальной основе не позднее 15 (пятнадцатого) рабочего дня месяца, следующего за отчетным кварталом.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стресс-тестированию по рискам прилагается заключение руководителя подразделения по управлению рисками, содержащее: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подверженности организации рискам;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рисков, влияющих в большей степени на финансовое положение организации.";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функции подразделения по управлению рисками входят: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эффективной системы управления рисками, включая: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политики по управлению рисками;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карты рисков, включая качественный и количественный подходы;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принятия управленческих решений;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мониторинг выполнения управленческих решений и определения эффективности принятых управленческий решений;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установленных лимитов по страховым, инвестиционным и иным сделкам (операциям);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 оценка рисков, включая определение описательных и количественных значений показателей рисков, связанных с деятельностью организации, а также определение максимально допустимых значений показателей рисков;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анализ коэффициентов системы оценки рисков организации на основании годовой финансовой и иной отчетности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для организации, осуществляющей деятельность по отрасли "общее страхование", и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для организации, осуществляющей деятельность по отрасли "страхование жизни";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управлению рисками, возникающими в процессе деятельности организации;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мониторинг, оценка и контроль идентифицированных (обнаруженных) рисков,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совместно с другими структурными подразделениями организации по идентификации рисков;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рисков, включая оценку частоты возникновения рисков, последующая классификация воздействий, оказанных данными рисками, и установление лимитов рисков;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включающий мониторинг изменений значений показателей рисков и максимально допустимых значений показателей рисков,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представление отчетности правлению и совету директоров о любых значительных случаях, способных повлечь за собой ущерб и (или) повлиять на деятельность организации, или носящих незаконный характер;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процесса по разработке соответствующими структурными подразделениями организации детального плана мероприятий по минимизации выявленных рисков (планы предоставляется структурными подразделениями и общий план мероприятий по минимизации выявленных рисков организации разрабатывается подразделением по управлению рисками) и дальнейший мониторинг утвержденного советом директоров плана мероприятий по минимизации рисков организации;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мероприятий по исполнению плана на случай чрезвычайных обстоятельств и обеспечения непрерывности деятельности организации;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регулярный анализ: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показателей (в рамках стресс-тестирования и регулярного мониторинга уровня принятых рисков);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изменений цен на финансовые инструменты на показатели ликвидности, платежеспособности, достаточности маржи платежеспособности (в рамках стресс-тестирования и регулярного мониторинга уровня принятых рисков);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прогнозирование воздействия макроэкономических факторов на рентабельность, ликвидность, достаточность маржи платежеспособности;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управления рисками (проводимая работа по минимизации и исключению рисков);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риски и план мероприятий по минимизации данных рисков, а также результаты проведенной работы по их снижению либо предотвращению;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которые могут возникнуть в процессе ведения текущей деятельности организации и пути их снижения и предотвращения;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мониторинг рисков, которые могут возникнуть на текущем этапе реализации корпоративной стратегии организации и пути их минимизации и предотвращения;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адекватность и эффективность системы управления рисками;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анализ финансовых показателей за отчетный период;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анализ карты рисков;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адекватность и эффективность применяемых процедур тестирования и моделей оценки рисков;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на утверждение совету директоров: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 апреля года, следующего за отчетным, анализа коэффициентов системы оценки рисков (с пояснениями по коэффициентам, выходящим за пределы стандартного диапазона);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улучшению коэффициентов системы оценки рисков в случае наличия четырех и более отклонений коэффициентов системы оценки рисков организации от утвержденных пределов стандартного диапазона;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годовому общему собранию акционеров анализа коэффициентов системы оценки рисков (с пояснениями по коэффициентам, выходящим за пределы стандартного диапазона), и утвержденного советом директоров плана мероприятий по улучшению коэффициентов системы оценки рисков (при наличии);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выполнения: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к управлению риском андеррайтинга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к управлению риском перестрахования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к управлению риском страховых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к управлению риском недостаточности страховых резервов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к управлению инвестиционным риском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к управлению операционными и сопутствующими рисками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 к управлению комплаенс-риском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отчета, содержащего детальный обзор текущего состояния организации с учетом количественных и качественных данных обо всех рисках, степени их вероятности, степени готовности организации, проведенных мероприятиях по их минимизации, мер реагирования;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отчета, содержащего детальный обзор финансового состояния и результатов деятельности организации, а также изменений в законодательстве актах Республики Казахстан о страховании и страховой деятельности, об обязательном страховании, об акционерных обществах, о рынке ценных бумаг, о противодействии легализации (отмыванию) доходов, полученных преступным путем, и финансированию терроризма, способные повлиять на финансовое состояние организации, карту рисков организации.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положений настоящего пункта к филиалу страховой (перестраховочной) организации-нерезидента Республики Казахстан: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1) и 2) настоящего пункта применяются к функциональным обязанностям подразделения по управлению рисками страховой (перестраховочной) организации-нерезидента Республики Казахстан;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3), 11) и 12) настоящего пункта не распространяются на филиал страховой (перестраховочной) организации-нерезидента Республики Казахстан.";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Работники организации информируют службу внутреннего аудита о следующих сделках (операциях):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любых сделках (операциях) (в том числе по договорам страхования (перестрахования) на сумму более 1 (одного) миллиона тенге с оплатой в наличной форме;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осуществлении страховой выплаты в размере более 3 000 (трех тысяч) месячных расчетных показателей;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других сделках (операциях), вызывающих сомнения в их законности.";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форме анализа коэффициентов системы оценки рисков страховой (перестраховочной) организации, осуществляющей деятельность по отрасли "общее страхование" изложить в следующей редакции: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Коэффициент К13 "Дефицит (профицит) оценки текущих резервов на капитал" рассчитывается по следующей формуле: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6073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собственный капитал на отчетную дату;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ЧЗП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чистая сумма заработанных премий за вычетом расходов, связанных с расторжением договоров страхования (перестрахования), на отчетную дату;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резерв убытков на дату отчета;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ЧЗП</w:t>
      </w:r>
      <w:r>
        <w:rPr>
          <w:rFonts w:ascii="Times New Roman"/>
          <w:b w:val="false"/>
          <w:i w:val="false"/>
          <w:color w:val="000000"/>
          <w:vertAlign w:val="subscript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чистая сумма заработанных премий за вычетом расходов, связанных с расторжением договоров страхования (перестрахования), на предшествующую отчетную дату;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ЧЗП</w:t>
      </w:r>
      <w:r>
        <w:rPr>
          <w:rFonts w:ascii="Times New Roman"/>
          <w:b w:val="false"/>
          <w:i w:val="false"/>
          <w:color w:val="000000"/>
          <w:vertAlign w:val="subscript"/>
        </w:rPr>
        <w:t>t-2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чистая сумма заработанных премий за вычетом расходов, связанных с расторжением договоров страхования (перестрахования), на вторую предшествующую отчетную дату;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СКРП - средний коэффициент резервов на премии;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страховые выплаты без учета доли перестраховщика и за вычетом возмещения по регрессному требованию, выплаченные в отчетном периоде, по убыткам, которые произошли и заявлены на дату до t-1;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</w:t>
      </w:r>
      <w:r>
        <w:rPr>
          <w:rFonts w:ascii="Times New Roman"/>
          <w:b w:val="false"/>
          <w:i w:val="false"/>
          <w:color w:val="000000"/>
          <w:vertAlign w:val="subscript"/>
        </w:rPr>
        <w:t>t,t-1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на урегулирование убытков, оплаченных в отчетном периоде, по убыткам, которые произошли и заявлены на дату до t-1;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</w:t>
      </w:r>
      <w:r>
        <w:rPr>
          <w:rFonts w:ascii="Times New Roman"/>
          <w:b w:val="false"/>
          <w:i w:val="false"/>
          <w:color w:val="000000"/>
          <w:vertAlign w:val="subscript"/>
        </w:rPr>
        <w:t>t,t-1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страховые выплаты без учета доли перестраховщика и за вычетом возмещения по регрессному требованию, выплаченные в отчетном периоде и в предшествующем периоде, по убыткам, которые произошли и заявлены на дату до t-2;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</w:t>
      </w:r>
      <w:r>
        <w:rPr>
          <w:rFonts w:ascii="Times New Roman"/>
          <w:b w:val="false"/>
          <w:i w:val="false"/>
          <w:color w:val="000000"/>
          <w:vertAlign w:val="subscript"/>
        </w:rPr>
        <w:t>t,t-2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на урегулирование убытков, оплаченных в отчетном периоде и в предшествующем периоде, по убыткам, которые произошли и заявлены на дату до t-2;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РЗНУ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* - чистый РЗНУ на отчетную дату по убыткам, которые произошли и заявлены на дату до t-1;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РЗНУ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** - чистый РЗНУ на отчетную дату по убыткам, которые произошли и заявлены на дату до t-2;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РЗНУ</w:t>
      </w:r>
      <w:r>
        <w:rPr>
          <w:rFonts w:ascii="Times New Roman"/>
          <w:b w:val="false"/>
          <w:i w:val="false"/>
          <w:color w:val="000000"/>
          <w:vertAlign w:val="subscript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чистый РЗНУ на предшествующую отчетную дату;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РПНУ</w:t>
      </w:r>
      <w:r>
        <w:rPr>
          <w:rFonts w:ascii="Times New Roman"/>
          <w:b w:val="false"/>
          <w:i w:val="false"/>
          <w:color w:val="000000"/>
          <w:vertAlign w:val="subscript"/>
        </w:rPr>
        <w:t>t-1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чистый резерв произошедших, но незаявленных убытков (далее - РПНУ) на предшествующую отчетную дату;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РЗНУ</w:t>
      </w:r>
      <w:r>
        <w:rPr>
          <w:rFonts w:ascii="Times New Roman"/>
          <w:b w:val="false"/>
          <w:i w:val="false"/>
          <w:color w:val="000000"/>
          <w:vertAlign w:val="subscript"/>
        </w:rPr>
        <w:t>t-2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чистый РЗНУ на вторую предшествующую отчетную дату;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РПНУ</w:t>
      </w:r>
      <w:r>
        <w:rPr>
          <w:rFonts w:ascii="Times New Roman"/>
          <w:b w:val="false"/>
          <w:i w:val="false"/>
          <w:color w:val="000000"/>
          <w:vertAlign w:val="subscript"/>
        </w:rPr>
        <w:t>t-2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чистый РПНУ на вторую предшествующую отчетную дату.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данного коэффициента не производится страховой (перестраховочной) организацией, осуществляющей деятельность менее трех лет.";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Принятие андеррайтингового решения по заключению отдельного договора страхования (перестрахования) выше предела лимита на андеррайтера (подразделением по андеррайтингу), установленного советом директоров, осуществляется на основании рекомендации, выданной андеррайтером (андеррайтинговым подразделением), и заключения подразделения по управлению рисками.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организацией во внутреннем документе устанавливаются минимальный и максимальный пороги сумм до лимита андеррайтингового совета, предусматривающие обязательное согласование с андеррайтером (андеррайтинговым подразделением).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андеррайтингового решения учитываются следующие условия: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страхового портфеля;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коэффициенты убыточности по виду страхования, к которому относится объект страхования;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риски, связанные с застрахованным и объектом страхования;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лимитов собственного удержания, установленных актуарием и законодательством Республики Казахстан о страховании и страховой деятельности;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факторы, влияющие на принятие андеррайтингового решения.";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Организация формирует страховое дело, содержащее: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страхователем (застрахованным) на страхование, в том числе содержащее сведения об ознакомлении страхователя с условиями страхования и получения им копии правил страхования (если договор страхования (перестрахования) заключен в форме договора присоединения (страхового полиса).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наличию подписи страхователя (застрахованного) в заявлении не распространяется на договоры, заключенные в электронной форме;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андеррайтинговое решение или его копию по договору страхования (перестрахования), за исключением договоров, заключенных по классам обязательного страхования гражданско-правовой ответственности владельцев транспортных средств, гражданско-правовой ответственности перевозчика перед пассажирами;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предоставленных страхователем (застрахованным, выгодоприобретателем) и сюрвейером для принятия андеррайтингового решения;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страхования (перестрахования) и (или) страховой полис и внесенные изменения;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записи о результатах мониторинга состояния объекта страхования (перестрахования) движимого и (или) недвижимого имущества.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договорам страхования (перестрахования), заключенным в электронной форме, страховое дело формируется в электронной форме.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страхового дела осуществляется на бумажном носителе и (или) в электронной форме.";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изложить в следующей редакции:</w:t>
      </w:r>
    </w:p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передаче активов в управление управляющему инвестиционным портфелем правление обеспечивает указание в договоре с управляющим инвестиционным портфелем требований по: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неукоснительному соблюдению управляющим инвестиционным портфелем инвестиционной политики организации;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эффективному обмену информацией для осуществления мониторинга рисков, в том числе для осуществления стресс-тестирования;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ответственности управляющего инвестиционным портфелем за причинение убытков организации в результате управления инвестиционным портфелем в результате преднамеренных действий.".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2" w:id="16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6" w:id="165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уполномоченный орган по регулированию,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https://www.gov.kz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Стресс-тестирование по рискам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1-STRESS-TEST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страховые (перестраховочные)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ежеквартально, не позднее 15 (пятнадцатого)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рабочего дня месяца, следующего за отчетным кварталом</w:t>
      </w:r>
    </w:p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по ценовому риску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(ISIN)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финансового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остаточности высоколиквидных активов после стресс-тестирования</w:t>
            </w:r>
          </w:p>
        </w:tc>
      </w:tr>
    </w:tbl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текущей стоимости финансового инструмента (в 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при снижении стоимости финансового инструмента (в тыс.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6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столбце 2 указывается наименование эмитента долевых инструментов (акции, депозитарные расписки, базовым активом которых являются акции, паи Exchange Traded Funds (ETF) (Эксчейндж Трэйдэд Фандс).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столбцах 3 и 4 указывается наименование ценной бумаги и его международный идентификационный номер (ISIN).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столбце 5 указывается балансовая стоимость финансового инструмента на отчетную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 столбцах 6, 7 и 8 указывается балансовая стоимость финансового инструмента при снижении ее на 20 %, 30 % и 40 %,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 столбцах 9, 10 и 11 указывается разница между балансовой стоимостью финансового инструмента и ее прогнозной сниженной стоимостью.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стресс-тестированию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по процентному риску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финансового инструмента в тыс. тенге (факт.)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доходности (факт.)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значение ставки доходности (+1 %)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 после стресс-тестирования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стоимость финансового инструмента при ставке доходности (+1%)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 при ставке доходности (+1%) в тыс.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7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столбце 2 указывается наименование эмитентов облигации.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столбце 3 указывается балансовая стоимость финансового инструмента на отчетную дату, учитываемых по следующим статьям бухгалтерского баланса: "Ценные бумаги, оцениваемые по справедливой стоимости, изменения которых отражаются в составе прибыли или убытка" и "Ценные бумаги, имеющиеся в наличии для продажи (за вычетом резервов на обесценение)".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столбце 4 указывается фактическая ставка доходности к погашению по облигации на отчетную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 столбце 5 указывается прогнозное значение ставки доходности облигации при увеличении ее на 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 столбце 7 указывается прогнозное значение суммы убытка при увеличении ставки доходности облигации.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стресс-тестированию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по валютному риску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активов и обязательств, номинированных в данной иностранной валюте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тенге по отношению к иностранной 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укрепления тенге по отношению к иностранной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валюты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(доход) по сценарию снижения тенге по отношению к иностранной 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(доход) по сценарию укрепления тенге по отношению к иностранной 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снижения тенге по отношению к иностранной 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укрепления тенге по отношению к иностранной валюте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(2-4)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(3-5)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(2-6)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(3-7)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98" w:id="17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НМП – норматив достаточности маржи платежеспособности после стресс-тестирования;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 - Норматив достаточности остаточности высоколиквидных активов после стресс-тестирования.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Стресс-тестированию подлежат активы и обязательства страховой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Сценарий для проведения стресс-тестирования: USD, EURO – ±20 %; RUB – ±10 %; иные валюты – ±10 %.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 столбцах 2 и 3 указывается текущая стоимость активов и обязательств, номинированных в данной иностранной валюте в тенге на отчетную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 столбцах 4, 5, 6 и 7 указывается прогнозная балансовая сумма активов и обязательств при сценариях снижения и укрепления тенге по отношению к иностранной валюте,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В столбцах 8, 9, 10 и 11 указывается прогнозный убыток (доход) по сценарию снижения и укрепления тенге по отношению к иностранной валюте, соответственно (разница между фактическими и прогнозными значениями активов и обязательств).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стресс-тестированию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4.1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по рискам, связанным с осуществлением страховой деятельности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приостановления сбора страховых премий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 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прогнозный квартал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прогнозный 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прогнозный квартал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прогнозный квартал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чистая прибыль (убыток) после уплаты налогов (тыс.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достаточности остаточности высоколиквидных активов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8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целях проведения стресс-тестирования по приостановлению сбора страховых премий страховой (перестраховочной) организации необходимо осуществить прогноз изменения финансовых показателей и значений пруденциальных нормативов с учетом отсутствия доходов по страховой части и сохранения постоянных расходов и расходов по страховым выплатам.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 данному сценарию страховой (перестраховочной) организации необходимо предусмотреть осуществление страховых выплат по имеющимся в портфеле договорам страхования (перестрахования) на отчетную дату (отсутствие новых поступлений, соответственно, страховых выплат по ним).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Форма по данному стресс-тестированию заполняется на 4 (четыре) прогнозных квартала (год в разрезе кварталов).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стресс-тестированию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4.2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увеличения резерва непроизошедших убытков по договорам аннуитета ввиду роста ставки индексации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на отчетную 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после стресс-тестирования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индексации страховых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не произошедших убытков (по договорам аннуитета, заключенные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достаточности маржи платежеспособности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достаточности высоколиквидных активов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18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Сценарий увеличения резерва непроизошедших убытков по договорам аннуитета, заключенным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обязанностей", рассчитывается на отчетную дату при использовании ставки индексации на уровне 8,25 %.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значительных отклонениях ставки от значения 8,25 %, опираясь на профессиональное суждение, актуарий представляет обоснованную альтернативную ставку.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 форме стресс-тестирования прикладывается отчет по действующим договорам аннуитета, заключенным в рамках обязательного страхования работника от несчастных случаев при исполнении им трудовых (служебных) обязанностей (с учетом новой индексации) (представляется в электронной форме).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стресс-тестированию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4.3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статьи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на отчетную 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расторжения договоров страхования (перестрахования)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 по действующим договорам страхования (перестрахования)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комиссионного вознаграждения по договорам страхования (перестрахования), по которым произойдет расторжение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убытка (строки 1+2)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достаточности маржи платежеспособности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достаточности остаточности высоколиквидных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8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Стресс-тестирование по риску расторжения договоров страхования предусматривает сценарий расторжения договоров страхования (перестрахования) от 10 % до 30 %.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столбцах 4, 5 и 6 указываются прогнозные значения статей Таблицы.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 строке 2 формы стресс-тестирования указывается сумма комиссионного вознаграждения по договорам страхования (перестрахования), по которым произошло расторжение (пропорционально к страховой премии).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Для расчета прогнозных значений пруденциальных нормативов необходимо учитывать сумму расходов, связанных с расторжением договора страхования (перестрахования), и сумму расходов по выплате комиссионного вознаграждения по данным договорам.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стресс-тестированию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5.1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по кредитному риску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статьи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рейтинговой оценки по финансовым инструментам, перестраховщикам, учитываемых при расчете пруденциальных нормативов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отчетную 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Убыток/Разница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в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высоколиквидных активов в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8" w:id="18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данного стресс-тестирования необходимо осуществить расчет норматива достаточности маржи платежеспособности и расчет норматива достаточности высоколиквидных активов страховой (перестраховочной) организации (далее – расчеты) с учетом снижения рейтингой оценки финансовых инструментов, перестраховщиков, учитываемых при расчете пруденциальных нормативов на 1 пункт (one notch) (уан ноч). Снижение рейтинговой оценки осуществляется по тем строкам расчетов, по которым установлено требование по рейтинговым оценкам,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14794.</w:t>
      </w:r>
    </w:p>
    <w:p>
      <w:pPr>
        <w:spacing w:after="0"/>
        <w:ind w:left="0"/>
        <w:jc w:val="both"/>
      </w:pPr>
      <w:bookmarkStart w:name="z209" w:id="188"/>
      <w:r>
        <w:rPr>
          <w:rFonts w:ascii="Times New Roman"/>
          <w:b w:val="false"/>
          <w:i w:val="false"/>
          <w:color w:val="000000"/>
          <w:sz w:val="28"/>
        </w:rPr>
        <w:t>
      2. Фактическая маржа платежеспособности является наименьшей из двух величин, рассчитанных с учетом статей капитала и с учетом их классификации по качеству и ликвидности после снижения рейтинговой оценки финансовых инструментов, перестраховщиков, учитываемых при расчете пруденциальных нормативов на 1 пункт (one notch) (уан ноч).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 паям, имеющим рейтинговую оценку рейтингового агентства Morningstar (Морнинстар), необходимо снизить оценку на 1 звезду.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Минимальный размер маржи платежеспособности страховой (перестраховочной) организации должен увеличиваться на сумму премий, передаваемых (переданных) в перестрахование страховым (перестраховочным) организациям - резидентам и нерезидентам Республики Казахстан по действующим договорам перестрахования, в зависимости от сниженной рейтинговой оценки перестраховщика или значения норматива достаточности маржи платежеспособности перестраховочной организации-резидента Республики Казахстан на предыдущую отчетную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 комментариях к стресс-тестированию по риску снижения рейтинговой оценки финансовых инструментов, перестраховщиков, учитываемых при расчете пруденциальных нормативов, указывается основная причина образования убытка по итогам проведения стресс-тестирования (разницы между фактическими и прогнозными значениями пруденциальных нормативов).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стресс-тестированию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5.2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 страхования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несвоевременного осуществления выплаты перестраховщиком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ответственности (страховая 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ответственности перестраховщика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суммы ответственности перестраховщика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 после стресс-тестирования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1" w:id="19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столбцах 1-6 указывается информация по договору перестрахования с наибольшей страховой суммой. По данному договору перестрахования сумма ответственности, переданной перестраховщику, в размере 5 % обнуляется.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Норматив достаточности маржи платежеспособности и норматив достаточности высоколиквидных активов рассчитывается с учетом вычета суммы ответственности перестраховщика по договору перестрахования в размере 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стресс-тестированию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5.3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страхователя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 учетом вероятности дефолта (перестраховочной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(полиса) страхования и (или) дополнительного соглашения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рейтинг перестраховщика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дефолта (PD) в соответствии с Таблицей вероятности дефолта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(EL) (в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с учетом вероятности дефолта (PD)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= 4*6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= 4+7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 после стресс-тестирования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19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Расчет по кредитному риску перестраховщика осуществляется согласно Таблице вероятности дефолта (PD) посредством снижения рейтинга перестраховщика на 1 категорию и, соответственно, возможное влияние на показатели пруденциальных нормативов страховой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S&amp;P, Fitch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Moody’s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в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ССС+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ССС-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bookmarkStart w:name="z214" w:id="193"/>
      <w:r>
        <w:rPr>
          <w:rFonts w:ascii="Times New Roman"/>
          <w:b w:val="false"/>
          <w:i w:val="false"/>
          <w:color w:val="000000"/>
          <w:sz w:val="28"/>
        </w:rPr>
        <w:t>
      Комментарий к стресс-тестированию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bookmarkStart w:name="z215" w:id="19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стресс-тестирования 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стресс-тестирования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рискам</w:t>
            </w:r>
          </w:p>
        </w:tc>
      </w:tr>
    </w:tbl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по рискам (индекс – 1-STRESS-TEST, периодичность – ежеквартальная)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 определяет единые требования по заполнению формы, предназначенной для сбора административных данных "Стресс-тестирование по рискам" (далее – Форма).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организацией ежеквартально по состоянию на конец отчетного периода.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Страховые (перестраховочные) организации, осуществляющие деятельность по отрасли "общее страхование", заполняют Таблицы 1 - 3, 4.1, 4.3, 5.1 - 5.3 Формы.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Страховые (перестраховочные) организации, осуществляющие деятельность по отрасли "страхование жизни", заполняют Таблицы 1 - 3, 4.1 - 4.3, 5.1 Формы.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Единица измерения, используемая при заполнении Формы, устанавливается в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подписывают первый руководитель или лицо, уполномоченное им на подписание Формы, а также руководитель подразделения по управлению рисками.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28" w:id="203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уполномоченный орган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http://finreg.kz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Гэп-анализ для страховых организаций, осуществляющих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отрасли "страхование жизни"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GAP-LI1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страховые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осуществляющие деятельность в отрасли "страхование жизни"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ежеквартально, не позднее 15 (пятнадцатого)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рабочего дня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страховой организации)</w:t>
      </w:r>
    </w:p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месяцев 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рейтинговую оценку не ниже "kzBB" по национальной шкале Standard &amp; Poor's (Стандард энд Пурс),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долгам; являются дочерними банками-резидентами, родительские банки-нерезиденты которых имеют долгосрочный кредитный рейтинг в иностранной валюте не ниже "А-" по международной шкале агентства Standard &amp; Poor's (Стандард энд Пурс)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или рейтинговую оценку от "kzB+" до "kzBВ-" по национальной шкале Standard &amp; Poor's (Стандард энд Пурс),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 том числе эмитированные в соответствии с законодательством иностранных государств), выпущенные Министерством финансов Республики Казахстан и Национальным Банком Республики Казахстан,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юридических лиц Республики Казахстан, входящих в официальный список фондовой биржи, осуществляющей деятельность на территории Республики Казахстан,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рейтинговую оценку не ниже "kzBB" по национальной шкале Standard &amp; Poor's (Стандард энд Пурс),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находящиеся в представительском списке индекса казахстанской фондовой биржи и депозитарные расписки, базовым активом которых являются данные акции, за исключением акций, указанных в строке 1.4.1,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или рейтинговую оценку от "kzB+" до "kzBВ-" по национальной шкале Standard &amp; Poor's (Стандард энд Пурс)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акции, выпущенные в соответствии с законодательством Республики Казахстан о рынке ценных бумаг, допущенные к обращению на фондовой бирже в соответствии с Требованиями к эмитентам и их ценным бумагам, допускаемым к обращению на фондовой бирже, а также к отдельным категориям официального списка фондовой биржи,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 (далее - Требования № 54), и депозитарные расписки, базовым активом которых являются данные акции, за исключением акций, указанных в строках 1.4.1, 1.4.2 и 1.4.3,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о рынке ценных бумаг и других государств, имеющие (эмитент которых имеет) долгосрочный кредитный рейтинг не ниже "ВВ-" по международной шкале агентства Standard &amp; Poor’s (Стандард энд Пурс) или рейтинг аналогичного уровня одного из других рейтинговых агентств, или рейтинговую оценку не ниже "kzBB" по национальной шкале Standard &amp; Poor's (Стандард энд Пурс),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о рынке ценных бумаг и иностранных государств, имеющие (эмитент которых имеет) долгосрочный кредитный рейтинг от "В" до "В+" по международной шкале агентства Standard &amp; Poor’s (Стандард энд Пурс) или рейтинг аналогичного уровня одного из других рейтинговых агентств, или рейтинговую оценку от "kzB+" до "kzBВ-" по национальной шкале Standard &amp; Poor's (Стандард энд Пурс),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бумаги, допущенные к обращению на фондовой бирже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№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 исключением долговых ценных бумаг, указанных в строках 1.4.5 и 1.4.6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суверенную рейтинговую оценку не ниже "В-" по международной шкале агентства Standard &amp; Poor's (Стандард энд Пурс), или рейтинг аналогичного уровня одного из других рейтинговых агентств,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иностранными организациями: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международную рейтинговую оценку не ниже "ВВВ-" агентства Standard &amp; Poor's (Стандард энд Пурс), или рейтинг аналогичного уровня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международную рейтинговую оценку не ниже "ВВВ-" агентства Standard &amp; Poor's (Стандард энд Пурс),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международных финансовых организаций, перечень которых определен пунктом 39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26 декабря 2016 года № 304, зарегистрированным в Реестре государственной регистрации нормативных правовых актов под № 14794 (далее - Нормативы)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(Ландон буллиан маркет ассосиэйшн) и обозначенным в документах данной ассоциации как стандарт "Лондонская качественная поставка" ("London Good Delivery") ("Ландон гуд деливери") и металлические депозиты, в том числе в банках-нерезидентах Республики Казахстан, обладающих рейтинговой оценкой не ниже "АA" по международной шкале агентства Standard &amp; Poor’s (Стандард энд Пурс), или рейтингом аналогичного уровня одного из других рейтинговых агентств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- всего,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 интервального паевого инвестиционного фонда,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исламского финансирования,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балансу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классам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гэп (строка 1- строка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гэп в процентах от активов (строка 4/строка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гэп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гэп в процентах от активов (строка 6/строка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0" w:id="205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данных,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гэп-анализа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 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