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0757" w14:textId="43c0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 и (или) требований"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января 2023 года № 10. Зарегистрирован в Министерстве юстиции Республики Казахстан 26 января 2023 года № 31777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 и (или) требований" (зарегистрирован в Реестре государственной регистрации нормативных правовых актов за № 12517)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использования анализа регуляторного воздействия регуляторных инструментов и (или) требований,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Анализу регуляторного воздействия подлежат проекты документов Системы государственного планирования в Республике Казахстан, проекты нормативных правовых актов Республики Казахстан, проекты технических регламентов Евразийского экономического союза, предусматривающих введение регуляторного инструмента и (или) требований или ужесточение регулирования в отношении субъектов предпринимательства, за исключением случаев,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Кодекса.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проведении анализа регуляторного воздействия при введении нового регуляторного инструмента и (или) требования или ужесточении регулирования в отношении субъектов предпринимательства также не распространяются на проекты законов, разработанные в порядке законодательной инициативы Президента и депутатов Парламента Республики Казахстан, а также на процесс рассмотрения проектов законов в Парламенте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законов, внесенным в порядке законодательной инициативы депутатов Парламента Республики Казахстан, а также по поправкам депутатов к проектам законов, находящимся на рассмотрении в Парламенте Республики Казахстан, может быть проведен анализ регуляторного воздействия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рамках заключения Правительства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Уполномоченный орган одновременно с размещением положительного заключения, на портале "Открытые НПА", направляет регулирующему государственному органу и в Национальную палату предпринимателей уведомление о соответствующем размещении для сведения.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предпринимательства размещает положительное заключение по актам регионального значения на официальном интернет-ресурсе органа-разработчика, а также разработанные органом-разработчиком проекты актов регионального значения, аналитическую форму органа-разработчика, и направляет уведомление о соответствующем размещении органу-разработчику и в Региональную палату предпринимателей.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положительном заключении устанавливается срок проведения анализа регуляторного воздействия, в порядке альтернативы в срок 15 (пятнадцать) рабочих дней со дня опубликования на портале "Открытые НПА".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форма по результатам анализа регуляторного воздействия, в порядке альтернативы и отчет общественных обсуждений уполномоченным органом доводятся до сведения регулирующего государственного органа, а по актам регионального значения доводятся до сведения органа-разработчика управлением предпринимательства.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Регулирующий государственный орган/ орган-разработчик в течение 3 (трех) рабочих дней направляет ответ в уполномоченный орган о согласии/несогласии с выводами анализа регуляторного воздействия в порядке альтернативы.".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