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347" w14:textId="7053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9 января 2023 года № 5. Зарегистрирован в Министерстве юстиции Республики Казахстан 11 января 2023 года № 31674.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16137)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обучения, утвержденную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 и 11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Расчет объема подушевого нормативного финансирования высшего и послевузовского образования и подушевого норматива финансирования для организаций высшего и (или) послевузовского образования по программам двойного диплома, реализуемых по решению Правительства Республики Казахстан, производится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Vпф – годовой объем подушевого нормативного финансирования организаций высшего и (или) послевузовского образования рассчитывается по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– подушевой норматив финансирования на одного обучающегося в год на бакалавриате;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– подушевой норматив финансирования на одного обучающегося в год на бакалавриате рассчитывается по формуле: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 xml:space="preserve"> = Т+X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A+ S,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административно-управленческого персонала (далее – АУП) и профессорско-преподавательского состава (далее – ППС), задействованного в образовательном процессе, в расчете на одного обучающегося в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учебные расходы, предназначенные для приобретения учебно-методической литературы, организации академической мобильности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– 19 МРП;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устанавливаемый ежегодно законом о республиканском бюджете. Для определения значений показателей, эквивалентных месячному расчетному показателю, за основу берется размер МРП, установленный на 1 января 2022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норма амортизации учебных приборов и оборудования для технических и сельскохозяйственных направлений подготовки кадров составляет – 64 МРП;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 – годовой фонд оплаты труда АУП и ППС, задействованного в образовательном процессе, на одного обучающегося в год рассчитывается исходя из нижеприведенного состава персонала.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(штатных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(ППС):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1291,544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350,963МРП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менеджмент, международный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1 474,045МРП 1 263,467МРП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мидл-менеджмент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состав 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140,385МРП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 на одного обучающегося в год, рассчитывается по следующей формуле: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>+ T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аупkz</w:t>
      </w:r>
      <w:r>
        <w:rPr>
          <w:rFonts w:ascii="Times New Roman"/>
          <w:b w:val="false"/>
          <w:i w:val="false"/>
          <w:color w:val="000000"/>
          <w:sz w:val="28"/>
        </w:rPr>
        <w:t>+ Т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in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отечественного АУП и ППС, задействованного в образовательном процессе, на одного обучающегося в год;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- годовой фонд оплаты труда иностранного АУП и ППС, задействованного в образовательном процессе, на одного обучающегося в год;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АУП рассчитывается для отечественного (kz) и иностранного (in) в отдельности по формуле: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*12*sno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(in) *mp,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ППС рассчитывается для отечественного (kz) и иностранного (in) в отдельности по формуле: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12*sno</w:t>
      </w:r>
      <w:r>
        <w:rPr>
          <w:rFonts w:ascii="Times New Roman"/>
          <w:b w:val="false"/>
          <w:i w:val="false"/>
          <w:color w:val="000000"/>
          <w:vertAlign w:val="subscript"/>
        </w:rPr>
        <w:t>kz(in)</w:t>
      </w:r>
      <w:r>
        <w:rPr>
          <w:rFonts w:ascii="Times New Roman"/>
          <w:b w:val="false"/>
          <w:i w:val="false"/>
          <w:color w:val="000000"/>
          <w:sz w:val="28"/>
        </w:rPr>
        <w:t>*mv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mp,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отечественного и иностранного ППС и АУП в месяц установлен: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и зарубежного АУП и ППС на основании договора между организациями высшего и (или) послевузовского образования.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заработной платы произведен в национальной валюте в эквиваленте 430 тенге за 1 доллар США по курсу Национального Банка Республики Казахстан, установленному на 15 ноября 2021 года;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персонала sno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- 1,0836;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персонала snoin-1,095;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в фонд обязательного медицинского страхования: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1,045;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1,055;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1,065;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соотношения среднего количества обучающихся, приходящихся на одного преподавателя составляет: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преподавателя mv</w:t>
      </w:r>
      <w:r>
        <w:rPr>
          <w:rFonts w:ascii="Times New Roman"/>
          <w:b w:val="false"/>
          <w:i w:val="false"/>
          <w:color w:val="000000"/>
          <w:vertAlign w:val="subscript"/>
        </w:rPr>
        <w:t>ппсin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0,02;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преподавателя mv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0,047;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соотношения среднего количества обучающихся, приходящихся на одного работника АУП составляет: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мидл-менеджмента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аупin1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0,0033;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топ-менеджмента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аупin2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0,001;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международного 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аупin3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0,00067;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аупkz1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0,00067;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младшего состава АУП mv</w:t>
      </w:r>
      <w:r>
        <w:rPr>
          <w:rFonts w:ascii="Times New Roman"/>
          <w:b w:val="false"/>
          <w:i w:val="false"/>
          <w:color w:val="000000"/>
          <w:vertAlign w:val="subscript"/>
        </w:rPr>
        <w:t>аупkz2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0,031;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 – коэффициент внедрения международных образовательных программ – 102,024 МРП.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подушевого нормативного финансирования высшего и послевузовского образования с учетом кредитной технологии обучения определяется в соответствии с подпунктами 12) и 13) пункта 9 настоящей Методики.".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