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b566" w14:textId="654b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памятников истории и культуры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февраля 2022 года № 71. Зарегистрировано в Министерстве юстиции Республики Казахстан 24 февраля 2022 года № 26916. Утратило силу постановлением акимата Костанайской области от 8 июня 2026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08.06.2026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 в Реестре государственной регистрации нормативных правовых актов под № 20395)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охранной зоны, зоны регулирования застройки и зоны охраняемого природного ландшафта памятника истории и культуры Костанайской области "Алексеевский археологический комплекс, эпоха бронзы", расположенного в городе Рудном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 Костанайской области "Алексеевский археологический комплекс, эпоха бронзы"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угловых точек охранной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52°57'27.00"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63°10'00.00"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52°57'20.35"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63°09'59.99"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52°57'20.76"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63°09'19.36"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52°57'25.03"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63°09'19.55"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52°57'24.77"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63°09'15.66"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52°57'23.74"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63°09'15.17"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52°57'23.08"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63°09'08.66"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52°57'23.92"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63°09'07.18"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52°57'25.69"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63°09'09.54"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52°57'25.99"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63°09'13.07"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52°57'27.10"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63°09'13.80"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52°57'28.92"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63°09'29.03"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52°57'27.23"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63°09'30.52"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Охранная зона памятника проходит по границам ландшафта, являющегося функционально неотъемлемой частью памятника истории и культуры местного значения Костанайской области "Алексеевский археологический комплекс, эпоха бронзы", расположенного на юго-восточной окраине города Рудного Костанайской области, в районе бывшего стадиона "Горняк", на высоком берегу левого рукава реки Тобол, на высоте 6–8 метров от уровня воды.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состоит из могильника, поселения и жертвенного места эпохи бронзы. Протяженность могильника вдоль берега составляет около 1 километра. Всего было исследовано 21 погребение. Древнее поселение расположено ниже по течению реки на высоком покатом берегу реки Тобол. С северной стороны отделено небольшой грядой. Невысокий холм, на котором совершались жертвоприношения, занимает центральное место во всем комплексе. Могильник примыкает к нему с западной стороны, а поселение начинается в 45–50 метрах к юго-востоку от остатков крайних жертвоприношений.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комплекса с зонами охраны составила – 351504,25 квадратного метра.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охранной зоны памятника отступает от границы территории памятника на 40 метров, составляет (включая площадь памятника) – 178711,23 квадратного метра.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занимает территорию, прилегающую к охранной зоне памятника, с отступом 40 метров от края границы охранной зоны и составляет – 86826,82 квадратного метра.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памятника, с отступом от линии границы регулирования застройки 40 метров и составляет – 85966,2 квадратного метра.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