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f6fb8" w14:textId="44f6f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Актау</w:t>
      </w:r>
    </w:p>
    <w:p>
      <w:pPr>
        <w:spacing w:after="0"/>
        <w:ind w:left="0"/>
        <w:jc w:val="both"/>
      </w:pPr>
      <w:r>
        <w:rPr>
          <w:rFonts w:ascii="Times New Roman"/>
          <w:b w:val="false"/>
          <w:i w:val="false"/>
          <w:color w:val="000000"/>
          <w:sz w:val="28"/>
        </w:rPr>
        <w:t>Постановление акимата города Актау Мангистауской области от 15 февраля 2022 года № 02-02/236. Зарегистрировано в Министерстве юстиции Республики Казахстан 22 февраля 2022 года № 26872.</w:t>
      </w:r>
    </w:p>
    <w:p>
      <w:pPr>
        <w:spacing w:after="0"/>
        <w:ind w:left="0"/>
        <w:jc w:val="both"/>
      </w:pPr>
      <w:r>
        <w:rPr>
          <w:rFonts w:ascii="Times New Roman"/>
          <w:b w:val="false"/>
          <w:i w:val="false"/>
          <w:color w:val="ff0000"/>
          <w:sz w:val="28"/>
        </w:rPr>
        <w:t xml:space="preserve">
      Сноска. Заголовок в редакции постановления акимата города Актау Мангистауской области от 11.03.2025 </w:t>
      </w:r>
      <w:r>
        <w:rPr>
          <w:rFonts w:ascii="Times New Roman"/>
          <w:b w:val="false"/>
          <w:i w:val="false"/>
          <w:color w:val="ff0000"/>
          <w:sz w:val="28"/>
        </w:rPr>
        <w:t>№ 11-07-748</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p>
    <w:bookmarkStart w:name="z0"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w:t>
      </w:r>
      <w:r>
        <w:rPr>
          <w:rFonts w:ascii="Times New Roman"/>
          <w:b w:val="false"/>
          <w:i w:val="false"/>
          <w:color w:val="000000"/>
          <w:sz w:val="28"/>
        </w:rPr>
        <w:t>подпунктом 16-5)</w:t>
      </w:r>
      <w:r>
        <w:rPr>
          <w:rFonts w:ascii="Times New Roman"/>
          <w:b w:val="false"/>
          <w:i w:val="false"/>
          <w:color w:val="000000"/>
          <w:sz w:val="28"/>
        </w:rPr>
        <w:t xml:space="preserve"> пункта 1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акимат города Актау ПОСТАНОВЛЯЕТ:</w:t>
      </w:r>
    </w:p>
    <w:bookmarkEnd w:id="0"/>
    <w:bookmarkStart w:name="z1" w:id="1"/>
    <w:p>
      <w:pPr>
        <w:spacing w:after="0"/>
        <w:ind w:left="0"/>
        <w:jc w:val="both"/>
      </w:pPr>
      <w:r>
        <w:rPr>
          <w:rFonts w:ascii="Times New Roman"/>
          <w:b w:val="false"/>
          <w:i w:val="false"/>
          <w:color w:val="000000"/>
          <w:sz w:val="28"/>
        </w:rPr>
        <w:t>
      1. Утвердить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Актау, согласно приложению к настоящему постановлению.</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акимата города Актау Мангистауской области от 11.03.2025 </w:t>
      </w:r>
      <w:r>
        <w:rPr>
          <w:rFonts w:ascii="Times New Roman"/>
          <w:b w:val="false"/>
          <w:i w:val="false"/>
          <w:color w:val="000000"/>
          <w:sz w:val="28"/>
        </w:rPr>
        <w:t>№ 11-07-748</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2. Государственному учреждению "Актауская городская жилищная инспекция" обеспечить государственную регистрацию настоящего постановления в Министерстве юстиции Республики Казахстан.</w:t>
      </w:r>
    </w:p>
    <w:bookmarkEnd w:id="2"/>
    <w:bookmarkStart w:name="z3"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города Актау Таубаеву А.</w:t>
      </w:r>
    </w:p>
    <w:bookmarkEnd w:id="3"/>
    <w:bookmarkStart w:name="z4"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города Актау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Қилыбай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Акимат города Актау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15 февраля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02-02/236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w:t>
            </w:r>
          </w:p>
        </w:tc>
      </w:tr>
    </w:tbl>
    <w:bookmarkStart w:name="z18" w:id="5"/>
    <w:p>
      <w:pPr>
        <w:spacing w:after="0"/>
        <w:ind w:left="0"/>
        <w:jc w:val="left"/>
      </w:pPr>
      <w:r>
        <w:rPr>
          <w:rFonts w:ascii="Times New Roman"/>
          <w:b/>
          <w:i w:val="false"/>
          <w:color w:val="000000"/>
        </w:rPr>
        <w:t xml:space="preserve">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Актау</w:t>
      </w:r>
    </w:p>
    <w:bookmarkEnd w:id="5"/>
    <w:p>
      <w:pPr>
        <w:spacing w:after="0"/>
        <w:ind w:left="0"/>
        <w:jc w:val="both"/>
      </w:pPr>
      <w:r>
        <w:rPr>
          <w:rFonts w:ascii="Times New Roman"/>
          <w:b w:val="false"/>
          <w:i w:val="false"/>
          <w:color w:val="ff0000"/>
          <w:sz w:val="28"/>
        </w:rPr>
        <w:t xml:space="preserve">
      Сноска. Правилв в редакции постановления акимата города Актау Мангистауской области от 11.03.2025 </w:t>
      </w:r>
      <w:r>
        <w:rPr>
          <w:rFonts w:ascii="Times New Roman"/>
          <w:b w:val="false"/>
          <w:i w:val="false"/>
          <w:color w:val="ff0000"/>
          <w:sz w:val="28"/>
        </w:rPr>
        <w:t>№ 11-07-748</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p>
    <w:bookmarkStart w:name="z19" w:id="6"/>
    <w:p>
      <w:pPr>
        <w:spacing w:after="0"/>
        <w:ind w:left="0"/>
        <w:jc w:val="left"/>
      </w:pPr>
      <w:r>
        <w:rPr>
          <w:rFonts w:ascii="Times New Roman"/>
          <w:b/>
          <w:i w:val="false"/>
          <w:color w:val="000000"/>
        </w:rPr>
        <w:t xml:space="preserve"> Глава 1. Общие положения</w:t>
      </w:r>
    </w:p>
    <w:bookmarkEnd w:id="6"/>
    <w:bookmarkStart w:name="z20" w:id="7"/>
    <w:p>
      <w:pPr>
        <w:spacing w:after="0"/>
        <w:ind w:left="0"/>
        <w:jc w:val="both"/>
      </w:pPr>
      <w:r>
        <w:rPr>
          <w:rFonts w:ascii="Times New Roman"/>
          <w:b w:val="false"/>
          <w:i w:val="false"/>
          <w:color w:val="000000"/>
          <w:sz w:val="28"/>
        </w:rPr>
        <w:t>
      1. Настоящие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Актау (далее – Правила) разработаны в соответствии с подпунктом 11) пункта 2 статьи 10-3 Закона Республики Казахстан "О жилищных отношениях" (далее – Закон), иными нормативными правовыми актами и определяют порядок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Актау.</w:t>
      </w:r>
    </w:p>
    <w:bookmarkEnd w:id="7"/>
    <w:bookmarkStart w:name="z21" w:id="8"/>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8"/>
    <w:bookmarkStart w:name="z22" w:id="9"/>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9"/>
    <w:bookmarkStart w:name="z23" w:id="10"/>
    <w:p>
      <w:pPr>
        <w:spacing w:after="0"/>
        <w:ind w:left="0"/>
        <w:jc w:val="both"/>
      </w:pPr>
      <w:r>
        <w:rPr>
          <w:rFonts w:ascii="Times New Roman"/>
          <w:b w:val="false"/>
          <w:i w:val="false"/>
          <w:color w:val="000000"/>
          <w:sz w:val="28"/>
        </w:rPr>
        <w:t xml:space="preserve">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 </w:t>
      </w:r>
    </w:p>
    <w:bookmarkEnd w:id="10"/>
    <w:bookmarkStart w:name="z24" w:id="11"/>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 и телекоммуникационного оборудования, являющегося собственностью операторов сотовой связи;</w:t>
      </w:r>
    </w:p>
    <w:bookmarkEnd w:id="11"/>
    <w:bookmarkStart w:name="z25" w:id="12"/>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2"/>
    <w:bookmarkStart w:name="z26" w:id="13"/>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3"/>
    <w:bookmarkStart w:name="z27" w:id="14"/>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bookmarkEnd w:id="14"/>
    <w:bookmarkStart w:name="z28" w:id="15"/>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5"/>
    <w:bookmarkStart w:name="z29" w:id="16"/>
    <w:p>
      <w:pPr>
        <w:spacing w:after="0"/>
        <w:ind w:left="0"/>
        <w:jc w:val="both"/>
      </w:pPr>
      <w:r>
        <w:rPr>
          <w:rFonts w:ascii="Times New Roman"/>
          <w:b w:val="false"/>
          <w:i w:val="false"/>
          <w:color w:val="000000"/>
          <w:sz w:val="28"/>
        </w:rPr>
        <w:t xml:space="preserve">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парковочные места, кладовки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 </w:t>
      </w:r>
    </w:p>
    <w:bookmarkEnd w:id="16"/>
    <w:bookmarkStart w:name="z30" w:id="17"/>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End w:id="17"/>
    <w:bookmarkStart w:name="z31" w:id="18"/>
    <w:p>
      <w:pPr>
        <w:spacing w:after="0"/>
        <w:ind w:left="0"/>
        <w:jc w:val="left"/>
      </w:pPr>
      <w:r>
        <w:rPr>
          <w:rFonts w:ascii="Times New Roman"/>
          <w:b/>
          <w:i w:val="false"/>
          <w:color w:val="000000"/>
        </w:rPr>
        <w:t xml:space="preserve"> Глава 2. Порядок организации мероприятий по реконструкции, текущему или капитальному ремонту наружных стен, кровли многоквартирных жилых домов</w:t>
      </w:r>
    </w:p>
    <w:bookmarkEnd w:id="18"/>
    <w:bookmarkStart w:name="z32" w:id="19"/>
    <w:p>
      <w:pPr>
        <w:spacing w:after="0"/>
        <w:ind w:left="0"/>
        <w:jc w:val="both"/>
      </w:pPr>
      <w:r>
        <w:rPr>
          <w:rFonts w:ascii="Times New Roman"/>
          <w:b w:val="false"/>
          <w:i w:val="false"/>
          <w:color w:val="000000"/>
          <w:sz w:val="28"/>
        </w:rPr>
        <w:t>
      3. Государственное учреждение "Актауская городская жилищная инспекция" (далее – Жилищная инспекция) определяет перечень многоквартирных жилых домов, требующих проведения реконструкции, текущего или капитального ремонта наружных стен, кровли для придания единого архитектурного облика городу.</w:t>
      </w:r>
    </w:p>
    <w:bookmarkEnd w:id="19"/>
    <w:bookmarkStart w:name="z33" w:id="20"/>
    <w:p>
      <w:pPr>
        <w:spacing w:after="0"/>
        <w:ind w:left="0"/>
        <w:jc w:val="both"/>
      </w:pPr>
      <w:r>
        <w:rPr>
          <w:rFonts w:ascii="Times New Roman"/>
          <w:b w:val="false"/>
          <w:i w:val="false"/>
          <w:color w:val="000000"/>
          <w:sz w:val="28"/>
        </w:rPr>
        <w:t>
      4. Жилищная инспекция после определения перечня многоквартирных жилых домов, указанных в пункте 3 Правил, обеспечивает разработку и утверждение единого архитектурного облика города.</w:t>
      </w:r>
    </w:p>
    <w:bookmarkEnd w:id="20"/>
    <w:bookmarkStart w:name="z34" w:id="21"/>
    <w:p>
      <w:pPr>
        <w:spacing w:after="0"/>
        <w:ind w:left="0"/>
        <w:jc w:val="both"/>
      </w:pPr>
      <w:r>
        <w:rPr>
          <w:rFonts w:ascii="Times New Roman"/>
          <w:b w:val="false"/>
          <w:i w:val="false"/>
          <w:color w:val="000000"/>
          <w:sz w:val="28"/>
        </w:rPr>
        <w:t>
      5. Акимат города Актау организует следующие мероприятия:</w:t>
      </w:r>
    </w:p>
    <w:bookmarkEnd w:id="21"/>
    <w:bookmarkStart w:name="z35" w:id="22"/>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города на официальном интернет-ресурсе акимата;</w:t>
      </w:r>
    </w:p>
    <w:bookmarkEnd w:id="22"/>
    <w:bookmarkStart w:name="z36" w:id="23"/>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bookmarkEnd w:id="23"/>
    <w:bookmarkStart w:name="z37" w:id="24"/>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ремонтных работ, реконструкции наружных стен, кровли многоквартирного жилого дома.</w:t>
      </w:r>
    </w:p>
    <w:bookmarkEnd w:id="24"/>
    <w:bookmarkStart w:name="z38" w:id="25"/>
    <w:p>
      <w:pPr>
        <w:spacing w:after="0"/>
        <w:ind w:left="0"/>
        <w:jc w:val="both"/>
      </w:pPr>
      <w:r>
        <w:rPr>
          <w:rFonts w:ascii="Times New Roman"/>
          <w:b w:val="false"/>
          <w:i w:val="false"/>
          <w:color w:val="000000"/>
          <w:sz w:val="28"/>
        </w:rPr>
        <w:t>
      6. Собрание правомочно принимать решение, если в нем участвуют более половины от общего числа собственников квартир, нежилых помещений.</w:t>
      </w:r>
    </w:p>
    <w:bookmarkEnd w:id="25"/>
    <w:bookmarkStart w:name="z39" w:id="26"/>
    <w:p>
      <w:pPr>
        <w:spacing w:after="0"/>
        <w:ind w:left="0"/>
        <w:jc w:val="both"/>
      </w:pPr>
      <w:r>
        <w:rPr>
          <w:rFonts w:ascii="Times New Roman"/>
          <w:b w:val="false"/>
          <w:i w:val="false"/>
          <w:color w:val="000000"/>
          <w:sz w:val="28"/>
        </w:rPr>
        <w:t>
      Каждый собственник квартиры, нежилого помещения имеет право знать, как проголосовали другие собственники квартир, нежилых помещений.</w:t>
      </w:r>
    </w:p>
    <w:bookmarkEnd w:id="26"/>
    <w:bookmarkStart w:name="z40" w:id="27"/>
    <w:p>
      <w:pPr>
        <w:spacing w:after="0"/>
        <w:ind w:left="0"/>
        <w:jc w:val="both"/>
      </w:pPr>
      <w:r>
        <w:rPr>
          <w:rFonts w:ascii="Times New Roman"/>
          <w:b w:val="false"/>
          <w:i w:val="false"/>
          <w:color w:val="000000"/>
          <w:sz w:val="28"/>
        </w:rPr>
        <w:t>
      7. В случае принятия собранием отрицательного решения работы по рекнострукции, ремонту наружных стен, кровли многоквартирного жилого дома, направленные на придание единого архитектурного облика, не производятся.</w:t>
      </w:r>
    </w:p>
    <w:bookmarkEnd w:id="27"/>
    <w:bookmarkStart w:name="z41" w:id="28"/>
    <w:p>
      <w:pPr>
        <w:spacing w:after="0"/>
        <w:ind w:left="0"/>
        <w:jc w:val="both"/>
      </w:pPr>
      <w:r>
        <w:rPr>
          <w:rFonts w:ascii="Times New Roman"/>
          <w:b w:val="false"/>
          <w:i w:val="false"/>
          <w:color w:val="000000"/>
          <w:sz w:val="28"/>
        </w:rPr>
        <w:t>
      8. При принятии собранием положительного решения Жилищная инспекция, в соответствии с требованиями строительных норм, организует обследование технического состояния наружных стен, кровли каждого многоквартирного жилого дома для определения объема и типа работ (реконструкция, текущий или капитальный ремонт) и установления степени их физического износа.</w:t>
      </w:r>
    </w:p>
    <w:bookmarkEnd w:id="28"/>
    <w:bookmarkStart w:name="z42" w:id="29"/>
    <w:p>
      <w:pPr>
        <w:spacing w:after="0"/>
        <w:ind w:left="0"/>
        <w:jc w:val="left"/>
      </w:pPr>
      <w:r>
        <w:rPr>
          <w:rFonts w:ascii="Times New Roman"/>
          <w:b/>
          <w:i w:val="false"/>
          <w:color w:val="000000"/>
        </w:rPr>
        <w:t xml:space="preserve"> Глава 3. Порядок проведения мероприятий по реконструкции, текущему или капитальному ремонту наружных стен, кровли многоквартирных жилых домов</w:t>
      </w:r>
    </w:p>
    <w:bookmarkEnd w:id="29"/>
    <w:bookmarkStart w:name="z43" w:id="30"/>
    <w:p>
      <w:pPr>
        <w:spacing w:after="0"/>
        <w:ind w:left="0"/>
        <w:jc w:val="both"/>
      </w:pPr>
      <w:r>
        <w:rPr>
          <w:rFonts w:ascii="Times New Roman"/>
          <w:b w:val="false"/>
          <w:i w:val="false"/>
          <w:color w:val="000000"/>
          <w:sz w:val="28"/>
        </w:rPr>
        <w:t>
      9. Выбор организации по обследованию технического состояния наружных стен, кровли каждого многоквартирного жилого дома для определения объема и типа работ (реконструкция, текущий или капитальный ремонт) осуществляется в соответствии с законодательством о государственных закупках.</w:t>
      </w:r>
    </w:p>
    <w:bookmarkEnd w:id="30"/>
    <w:bookmarkStart w:name="z44" w:id="31"/>
    <w:p>
      <w:pPr>
        <w:spacing w:after="0"/>
        <w:ind w:left="0"/>
        <w:jc w:val="both"/>
      </w:pPr>
      <w:r>
        <w:rPr>
          <w:rFonts w:ascii="Times New Roman"/>
          <w:b w:val="false"/>
          <w:i w:val="false"/>
          <w:color w:val="000000"/>
          <w:sz w:val="28"/>
        </w:rPr>
        <w:t>
      10. По итогам обследования технического состояния наружных стен, кровли многоквартирного жилого дома Жилищная инспекция организует работу по разработке сметного расчета текущего ремонта или изготовлению проектно-сметной документации на реконструкцию, капитальный ремонт наружных стен, кровли, направленного на придание единого архитектурного облика, с последующим получением заключения экспертизы за счет средств местного бюджета.</w:t>
      </w:r>
    </w:p>
    <w:bookmarkEnd w:id="31"/>
    <w:bookmarkStart w:name="z45" w:id="32"/>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ремонта или проектно-сметной документации на реконструкцию, капитальный ремонт наружных стен, кровли многоквартирных жилых домов, Жилищная инспекция составляет бюджетную заявку в соответствии с порядком, определенным центральным уполномоченным органом по бюджетному планированию.</w:t>
      </w:r>
    </w:p>
    <w:bookmarkEnd w:id="32"/>
    <w:bookmarkStart w:name="z46" w:id="33"/>
    <w:p>
      <w:pPr>
        <w:spacing w:after="0"/>
        <w:ind w:left="0"/>
        <w:jc w:val="both"/>
      </w:pPr>
      <w:r>
        <w:rPr>
          <w:rFonts w:ascii="Times New Roman"/>
          <w:b w:val="false"/>
          <w:i w:val="false"/>
          <w:color w:val="000000"/>
          <w:sz w:val="28"/>
        </w:rPr>
        <w:t>
      12. Приобретение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Жилищной инспекции в соответствии с законодательством о государственных закупках.</w:t>
      </w:r>
    </w:p>
    <w:bookmarkEnd w:id="33"/>
    <w:bookmarkStart w:name="z47" w:id="34"/>
    <w:p>
      <w:pPr>
        <w:spacing w:after="0"/>
        <w:ind w:left="0"/>
        <w:jc w:val="both"/>
      </w:pPr>
      <w:r>
        <w:rPr>
          <w:rFonts w:ascii="Times New Roman"/>
          <w:b w:val="false"/>
          <w:i w:val="false"/>
          <w:color w:val="000000"/>
          <w:sz w:val="28"/>
        </w:rPr>
        <w:t>
      13. Приемка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Жилищной инспекции с привлечением лиц, осуществляющих технический надзор.</w:t>
      </w:r>
    </w:p>
    <w:bookmarkEnd w:id="34"/>
    <w:bookmarkStart w:name="z48" w:id="35"/>
    <w:p>
      <w:pPr>
        <w:spacing w:after="0"/>
        <w:ind w:left="0"/>
        <w:jc w:val="left"/>
      </w:pPr>
      <w:r>
        <w:rPr>
          <w:rFonts w:ascii="Times New Roman"/>
          <w:b/>
          <w:i w:val="false"/>
          <w:color w:val="000000"/>
        </w:rPr>
        <w:t xml:space="preserve"> Глава 4. Заключительные положения</w:t>
      </w:r>
    </w:p>
    <w:bookmarkEnd w:id="35"/>
    <w:bookmarkStart w:name="z49" w:id="36"/>
    <w:p>
      <w:pPr>
        <w:spacing w:after="0"/>
        <w:ind w:left="0"/>
        <w:jc w:val="both"/>
      </w:pPr>
      <w:r>
        <w:rPr>
          <w:rFonts w:ascii="Times New Roman"/>
          <w:b w:val="false"/>
          <w:i w:val="false"/>
          <w:color w:val="000000"/>
          <w:sz w:val="28"/>
        </w:rPr>
        <w:t>
      14. Финансирование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Актау, осуществляется из средств местного бюджета.</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