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6853" w14:textId="19868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Байзакского районного маслихата от 23 декабря 2020 года №77-11 "Об утверждении Правил оказания социальной помощи, установления размеров и определения перечня отдельных категорий нуждающихся граждан по Байзакскому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Байзакского районного маслихата Жамбылской области от 21 ноября 2022 года № 34-2. Зарегистрировано в Министерстве юстиции Республики Казахстан 24 ноября 2022 года № 30697. Утратило силу решением Байзакского районного маслихата Жамбылской области от 15 декабря 2023 года № 14-3</w:t>
      </w:r>
    </w:p>
    <w:p>
      <w:pPr>
        <w:spacing w:after="0"/>
        <w:ind w:left="0"/>
        <w:jc w:val="left"/>
      </w:pPr>
    </w:p>
    <w:p>
      <w:pPr>
        <w:spacing w:after="0"/>
        <w:ind w:left="0"/>
        <w:jc w:val="both"/>
      </w:pPr>
      <w:r>
        <w:rPr>
          <w:rFonts w:ascii="Times New Roman"/>
          <w:b w:val="false"/>
          <w:i w:val="false"/>
          <w:color w:val="ff0000"/>
          <w:sz w:val="28"/>
        </w:rPr>
        <w:t xml:space="preserve">
      Сноска. Утратило силу решением Байзакского районного маслихата Жамбылской области от 15.12.2023 </w:t>
      </w:r>
      <w:r>
        <w:rPr>
          <w:rFonts w:ascii="Times New Roman"/>
          <w:b w:val="false"/>
          <w:i w:val="false"/>
          <w:color w:val="ff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2" w:id="0"/>
    <w:p>
      <w:pPr>
        <w:spacing w:after="0"/>
        <w:ind w:left="0"/>
        <w:jc w:val="both"/>
      </w:pPr>
      <w:r>
        <w:rPr>
          <w:rFonts w:ascii="Times New Roman"/>
          <w:b w:val="false"/>
          <w:i w:val="false"/>
          <w:color w:val="000000"/>
          <w:sz w:val="28"/>
        </w:rPr>
        <w:t>
      Байзакский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Внести в решение Байзакского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по Байзакскому району" от 23 декабря 2020 года № 77-11 (зарегистрировано в Реестре государственной регистрации нормативных правовых актов за </w:t>
      </w:r>
      <w:r>
        <w:rPr>
          <w:rFonts w:ascii="Times New Roman"/>
          <w:b w:val="false"/>
          <w:i w:val="false"/>
          <w:color w:val="000000"/>
          <w:sz w:val="28"/>
        </w:rPr>
        <w:t>№ 4888</w:t>
      </w:r>
      <w:r>
        <w:rPr>
          <w:rFonts w:ascii="Times New Roman"/>
          <w:b w:val="false"/>
          <w:i w:val="false"/>
          <w:color w:val="000000"/>
          <w:sz w:val="28"/>
        </w:rPr>
        <w:t xml:space="preserve">) следующие изменения: </w:t>
      </w:r>
    </w:p>
    <w:bookmarkEnd w:id="1"/>
    <w:bookmarkStart w:name="z9"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 изложить в новой редакции:</w:t>
      </w:r>
    </w:p>
    <w:bookmarkStart w:name="z11" w:id="3"/>
    <w:p>
      <w:pPr>
        <w:spacing w:after="0"/>
        <w:ind w:left="0"/>
        <w:jc w:val="both"/>
      </w:pPr>
      <w:r>
        <w:rPr>
          <w:rFonts w:ascii="Times New Roman"/>
          <w:b w:val="false"/>
          <w:i w:val="false"/>
          <w:color w:val="000000"/>
          <w:sz w:val="28"/>
        </w:rPr>
        <w:t xml:space="preserve">
      "5. Меры социальной поддержки, предусмотренные статьей 16 Закона Республики Казахстан "О социальной защите лиц с инвалидностью в Республике Казахстан" и подпунктом 2) статьи 10, подпунктом 2) статьи 11, подпунктом 2) статьи 12, подпунктом 2) статьи 13, статьей 17 Закона Республики Казахстан "О ветеранах", оказываются в порядке, определенном настоящими Правилами."; </w:t>
      </w:r>
    </w:p>
    <w:bookmarkEnd w:id="3"/>
    <w:bookmarkStart w:name="z12" w:id="4"/>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денежной выплаты следующим категориям граждан:</w:t>
      </w:r>
    </w:p>
    <w:bookmarkEnd w:id="4"/>
    <w:bookmarkStart w:name="z13" w:id="5"/>
    <w:p>
      <w:pPr>
        <w:spacing w:after="0"/>
        <w:ind w:left="0"/>
        <w:jc w:val="both"/>
      </w:pPr>
      <w:r>
        <w:rPr>
          <w:rFonts w:ascii="Times New Roman"/>
          <w:b w:val="false"/>
          <w:i w:val="false"/>
          <w:color w:val="000000"/>
          <w:sz w:val="28"/>
        </w:rPr>
        <w:t>
      1) ко Дню защитника Отечества - 7 мая:</w:t>
      </w:r>
    </w:p>
    <w:bookmarkEnd w:id="5"/>
    <w:bookmarkStart w:name="z14" w:id="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50000 (пятьдесят тысяч) тенге;</w:t>
      </w:r>
    </w:p>
    <w:bookmarkEnd w:id="6"/>
    <w:bookmarkStart w:name="z15" w:id="7"/>
    <w:p>
      <w:pPr>
        <w:spacing w:after="0"/>
        <w:ind w:left="0"/>
        <w:jc w:val="both"/>
      </w:pPr>
      <w:r>
        <w:rPr>
          <w:rFonts w:ascii="Times New Roman"/>
          <w:b w:val="false"/>
          <w:i w:val="false"/>
          <w:color w:val="000000"/>
          <w:sz w:val="28"/>
        </w:rPr>
        <w:t>
      2) ко Дню Победы - 9 мая:</w:t>
      </w:r>
    </w:p>
    <w:bookmarkEnd w:id="7"/>
    <w:bookmarkStart w:name="z16" w:id="8"/>
    <w:p>
      <w:pPr>
        <w:spacing w:after="0"/>
        <w:ind w:left="0"/>
        <w:jc w:val="both"/>
      </w:pPr>
      <w:r>
        <w:rPr>
          <w:rFonts w:ascii="Times New Roman"/>
          <w:b w:val="false"/>
          <w:i w:val="false"/>
          <w:color w:val="000000"/>
          <w:sz w:val="28"/>
        </w:rPr>
        <w:t>
      участникам и лицам с инвалидностью Великой Отечественной войны - в размере 1000000 (один миллион) тенге;</w:t>
      </w:r>
    </w:p>
    <w:bookmarkEnd w:id="8"/>
    <w:bookmarkStart w:name="z17" w:id="9"/>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9"/>
    <w:bookmarkStart w:name="z18" w:id="10"/>
    <w:p>
      <w:pPr>
        <w:spacing w:after="0"/>
        <w:ind w:left="0"/>
        <w:jc w:val="both"/>
      </w:pPr>
      <w:r>
        <w:rPr>
          <w:rFonts w:ascii="Times New Roman"/>
          <w:b w:val="false"/>
          <w:i w:val="false"/>
          <w:color w:val="000000"/>
          <w:sz w:val="28"/>
        </w:rPr>
        <w:t>
      супруге (супругу) умершего лица с инвалидностью Великой Отечественной войны или лица, приравненного по льготам к лицам с инвалидностью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10"/>
    <w:bookmarkStart w:name="z19" w:id="11"/>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60 000 (шестьдесят тысяч) тенге;</w:t>
      </w:r>
    </w:p>
    <w:bookmarkEnd w:id="11"/>
    <w:bookmarkStart w:name="z20" w:id="12"/>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(далее –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12"/>
    <w:bookmarkStart w:name="z21" w:id="13"/>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13"/>
    <w:bookmarkStart w:name="z22" w:id="1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14"/>
    <w:bookmarkStart w:name="z23" w:id="15"/>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15"/>
    <w:bookmarkStart w:name="z24" w:id="16"/>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16"/>
    <w:bookmarkStart w:name="z25" w:id="17"/>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17"/>
    <w:bookmarkStart w:name="z26" w:id="1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100000 (сто тысяч) тенге;</w:t>
      </w:r>
    </w:p>
    <w:bookmarkEnd w:id="18"/>
    <w:bookmarkStart w:name="z27" w:id="1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19"/>
    <w:bookmarkStart w:name="z28" w:id="20"/>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15000 (пятнадцать тысяч) тенге;</w:t>
      </w:r>
    </w:p>
    <w:bookmarkEnd w:id="20"/>
    <w:bookmarkStart w:name="z29" w:id="21"/>
    <w:p>
      <w:pPr>
        <w:spacing w:after="0"/>
        <w:ind w:left="0"/>
        <w:jc w:val="both"/>
      </w:pPr>
      <w:r>
        <w:rPr>
          <w:rFonts w:ascii="Times New Roman"/>
          <w:b w:val="false"/>
          <w:i w:val="false"/>
          <w:color w:val="000000"/>
          <w:sz w:val="28"/>
        </w:rPr>
        <w:t xml:space="preserve">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15000 (пятнадцать тысяч) тенге; </w:t>
      </w:r>
    </w:p>
    <w:bookmarkEnd w:id="21"/>
    <w:bookmarkStart w:name="z30" w:id="2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150000 (сто пятьдесят тысяч) тенге;</w:t>
      </w:r>
    </w:p>
    <w:bookmarkEnd w:id="22"/>
    <w:bookmarkStart w:name="z31" w:id="2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150000 (сто пятьдесят тысяч) тенге;</w:t>
      </w:r>
    </w:p>
    <w:bookmarkEnd w:id="23"/>
    <w:bookmarkStart w:name="z32" w:id="24"/>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150000 (сто пятьдесят тысяч) тенге;</w:t>
      </w:r>
    </w:p>
    <w:bookmarkEnd w:id="24"/>
    <w:bookmarkStart w:name="z33" w:id="25"/>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в размере 50000 (пятьдесят тысяч) тенге;</w:t>
      </w:r>
    </w:p>
    <w:bookmarkEnd w:id="25"/>
    <w:bookmarkStart w:name="z34" w:id="26"/>
    <w:p>
      <w:pPr>
        <w:spacing w:after="0"/>
        <w:ind w:left="0"/>
        <w:jc w:val="both"/>
      </w:pPr>
      <w:r>
        <w:rPr>
          <w:rFonts w:ascii="Times New Roman"/>
          <w:b w:val="false"/>
          <w:i w:val="false"/>
          <w:color w:val="000000"/>
          <w:sz w:val="28"/>
        </w:rPr>
        <w:t>
      рабочим и служащим, направлявшиеся на работу в Афганистан в период с 1 декабря 1979 года по декабрь 1989 года и другие страны, в которых велись боевые действия в размере 15000 (пятнадцать тысяч) тенге;</w:t>
      </w:r>
    </w:p>
    <w:bookmarkEnd w:id="26"/>
    <w:bookmarkStart w:name="z35" w:id="2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150000 (сто пятьдесят тысяч) тенге;</w:t>
      </w:r>
    </w:p>
    <w:bookmarkEnd w:id="27"/>
    <w:bookmarkStart w:name="z36" w:id="28"/>
    <w:p>
      <w:pPr>
        <w:spacing w:after="0"/>
        <w:ind w:left="0"/>
        <w:jc w:val="both"/>
      </w:pPr>
      <w:r>
        <w:rPr>
          <w:rFonts w:ascii="Times New Roman"/>
          <w:b w:val="false"/>
          <w:i w:val="false"/>
          <w:color w:val="000000"/>
          <w:sz w:val="28"/>
        </w:rPr>
        <w:t>
      ветеранам боевых действий на территории других государств:</w:t>
      </w:r>
    </w:p>
    <w:bookmarkEnd w:id="28"/>
    <w:bookmarkStart w:name="z37" w:id="29"/>
    <w:p>
      <w:pPr>
        <w:spacing w:after="0"/>
        <w:ind w:left="0"/>
        <w:jc w:val="both"/>
      </w:pPr>
      <w:r>
        <w:rPr>
          <w:rFonts w:ascii="Times New Roman"/>
          <w:b w:val="false"/>
          <w:i w:val="false"/>
          <w:color w:val="000000"/>
          <w:sz w:val="28"/>
        </w:rPr>
        <w:t>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150000 (сто пятьдесят тысяч) тенге;</w:t>
      </w:r>
    </w:p>
    <w:bookmarkEnd w:id="29"/>
    <w:bookmarkStart w:name="z38" w:id="30"/>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150000 (сто пятьдесят тысяч) тенге;</w:t>
      </w:r>
    </w:p>
    <w:bookmarkEnd w:id="30"/>
    <w:bookmarkStart w:name="z39" w:id="31"/>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в размере 150000 (сто пятьдесят тысяч) тенге.</w:t>
      </w:r>
    </w:p>
    <w:bookmarkEnd w:id="31"/>
    <w:bookmarkStart w:name="z40" w:id="32"/>
    <w:p>
      <w:pPr>
        <w:spacing w:after="0"/>
        <w:ind w:left="0"/>
        <w:jc w:val="both"/>
      </w:pPr>
      <w:r>
        <w:rPr>
          <w:rFonts w:ascii="Times New Roman"/>
          <w:b w:val="false"/>
          <w:i w:val="false"/>
          <w:color w:val="000000"/>
          <w:sz w:val="28"/>
        </w:rPr>
        <w:t>
      3) 16 декабря – ко Дню Независимости:</w:t>
      </w:r>
    </w:p>
    <w:bookmarkEnd w:id="32"/>
    <w:bookmarkStart w:name="z41" w:id="33"/>
    <w:p>
      <w:pPr>
        <w:spacing w:after="0"/>
        <w:ind w:left="0"/>
        <w:jc w:val="both"/>
      </w:pPr>
      <w:r>
        <w:rPr>
          <w:rFonts w:ascii="Times New Roman"/>
          <w:b w:val="false"/>
          <w:i w:val="false"/>
          <w:color w:val="000000"/>
          <w:sz w:val="28"/>
        </w:rPr>
        <w:t xml:space="preserve">
      лицам, участвовавшим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100000 (сто тысяч) тенге".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 изложить в новой редакции:</w:t>
      </w:r>
    </w:p>
    <w:bookmarkStart w:name="z43" w:id="34"/>
    <w:p>
      <w:pPr>
        <w:spacing w:after="0"/>
        <w:ind w:left="0"/>
        <w:jc w:val="both"/>
      </w:pPr>
      <w:r>
        <w:rPr>
          <w:rFonts w:ascii="Times New Roman"/>
          <w:b w:val="false"/>
          <w:i w:val="false"/>
          <w:color w:val="000000"/>
          <w:sz w:val="28"/>
        </w:rPr>
        <w:t>
      "8. Социальная помощь оказывается отдельным категориям нуждающихся граждан, оказавшихся в трудной жизненной ситуации единовременно и (или) периодически (ежемесячно):</w:t>
      </w:r>
    </w:p>
    <w:bookmarkEnd w:id="34"/>
    <w:bookmarkStart w:name="z44" w:id="35"/>
    <w:p>
      <w:pPr>
        <w:spacing w:after="0"/>
        <w:ind w:left="0"/>
        <w:jc w:val="both"/>
      </w:pPr>
      <w:r>
        <w:rPr>
          <w:rFonts w:ascii="Times New Roman"/>
          <w:b w:val="false"/>
          <w:i w:val="false"/>
          <w:color w:val="000000"/>
          <w:sz w:val="28"/>
        </w:rPr>
        <w:t>
      1) лицам (семьям), признанным находящимся в трудной жизненной ситуации, единовременно в размере 10 (десять) месячных расчетных показателей с учетом среднедушевого дохода, не превышающего порога двукратного размера прожиточного минимума, по следующим основаниям:</w:t>
      </w:r>
    </w:p>
    <w:bookmarkEnd w:id="35"/>
    <w:bookmarkStart w:name="z45" w:id="36"/>
    <w:p>
      <w:pPr>
        <w:spacing w:after="0"/>
        <w:ind w:left="0"/>
        <w:jc w:val="both"/>
      </w:pPr>
      <w:r>
        <w:rPr>
          <w:rFonts w:ascii="Times New Roman"/>
          <w:b w:val="false"/>
          <w:i w:val="false"/>
          <w:color w:val="000000"/>
          <w:sz w:val="28"/>
        </w:rPr>
        <w:t>
      сиротство;</w:t>
      </w:r>
    </w:p>
    <w:bookmarkEnd w:id="36"/>
    <w:bookmarkStart w:name="z46" w:id="37"/>
    <w:p>
      <w:pPr>
        <w:spacing w:after="0"/>
        <w:ind w:left="0"/>
        <w:jc w:val="both"/>
      </w:pPr>
      <w:r>
        <w:rPr>
          <w:rFonts w:ascii="Times New Roman"/>
          <w:b w:val="false"/>
          <w:i w:val="false"/>
          <w:color w:val="000000"/>
          <w:sz w:val="28"/>
        </w:rPr>
        <w:t>
      отсутствие родительского попечения;</w:t>
      </w:r>
    </w:p>
    <w:bookmarkEnd w:id="37"/>
    <w:bookmarkStart w:name="z47" w:id="38"/>
    <w:p>
      <w:pPr>
        <w:spacing w:after="0"/>
        <w:ind w:left="0"/>
        <w:jc w:val="both"/>
      </w:pPr>
      <w:r>
        <w:rPr>
          <w:rFonts w:ascii="Times New Roman"/>
          <w:b w:val="false"/>
          <w:i w:val="false"/>
          <w:color w:val="000000"/>
          <w:sz w:val="28"/>
        </w:rPr>
        <w:t>
      безнадзорность несовершеннолетних, в том числе девиантное поведение;</w:t>
      </w:r>
    </w:p>
    <w:bookmarkEnd w:id="38"/>
    <w:bookmarkStart w:name="z48" w:id="39"/>
    <w:p>
      <w:pPr>
        <w:spacing w:after="0"/>
        <w:ind w:left="0"/>
        <w:jc w:val="both"/>
      </w:pPr>
      <w:r>
        <w:rPr>
          <w:rFonts w:ascii="Times New Roman"/>
          <w:b w:val="false"/>
          <w:i w:val="false"/>
          <w:color w:val="000000"/>
          <w:sz w:val="28"/>
        </w:rPr>
        <w:t>
      нахождение несовершеннолетних в специальных организациях образования, организациях образования с особым режимом содержания;</w:t>
      </w:r>
    </w:p>
    <w:bookmarkEnd w:id="39"/>
    <w:bookmarkStart w:name="z49" w:id="40"/>
    <w:p>
      <w:pPr>
        <w:spacing w:after="0"/>
        <w:ind w:left="0"/>
        <w:jc w:val="both"/>
      </w:pPr>
      <w:r>
        <w:rPr>
          <w:rFonts w:ascii="Times New Roman"/>
          <w:b w:val="false"/>
          <w:i w:val="false"/>
          <w:color w:val="000000"/>
          <w:sz w:val="28"/>
        </w:rPr>
        <w:t>
      ограничение возможностей раннего психофизического развития детей от рождения до трех лет;</w:t>
      </w:r>
    </w:p>
    <w:bookmarkEnd w:id="40"/>
    <w:bookmarkStart w:name="z50" w:id="41"/>
    <w:p>
      <w:pPr>
        <w:spacing w:after="0"/>
        <w:ind w:left="0"/>
        <w:jc w:val="both"/>
      </w:pPr>
      <w:r>
        <w:rPr>
          <w:rFonts w:ascii="Times New Roman"/>
          <w:b w:val="false"/>
          <w:i w:val="false"/>
          <w:color w:val="000000"/>
          <w:sz w:val="28"/>
        </w:rPr>
        <w:t>
      стойкие нарушения функций организма, обусловленные физическими и (или) умственными возможностями;</w:t>
      </w:r>
    </w:p>
    <w:bookmarkEnd w:id="41"/>
    <w:bookmarkStart w:name="z51" w:id="42"/>
    <w:p>
      <w:pPr>
        <w:spacing w:after="0"/>
        <w:ind w:left="0"/>
        <w:jc w:val="both"/>
      </w:pPr>
      <w:r>
        <w:rPr>
          <w:rFonts w:ascii="Times New Roman"/>
          <w:b w:val="false"/>
          <w:i w:val="false"/>
          <w:color w:val="000000"/>
          <w:sz w:val="28"/>
        </w:rPr>
        <w:t>
       ограничение жизнедеятельности вследствие социально значимых заболеваний и заболеваний, представляющих опасность для окружающих;</w:t>
      </w:r>
    </w:p>
    <w:bookmarkEnd w:id="42"/>
    <w:bookmarkStart w:name="z52" w:id="43"/>
    <w:p>
      <w:pPr>
        <w:spacing w:after="0"/>
        <w:ind w:left="0"/>
        <w:jc w:val="both"/>
      </w:pPr>
      <w:r>
        <w:rPr>
          <w:rFonts w:ascii="Times New Roman"/>
          <w:b w:val="false"/>
          <w:i w:val="false"/>
          <w:color w:val="000000"/>
          <w:sz w:val="28"/>
        </w:rPr>
        <w:t xml:space="preserve">
      неспособность к самообслуживанию лиц, имеющих прежнее заболевание и (или) лиц, имеющих инвалидность, в связи с преклонным возрастом; </w:t>
      </w:r>
    </w:p>
    <w:bookmarkEnd w:id="43"/>
    <w:bookmarkStart w:name="z53" w:id="44"/>
    <w:p>
      <w:pPr>
        <w:spacing w:after="0"/>
        <w:ind w:left="0"/>
        <w:jc w:val="both"/>
      </w:pPr>
      <w:r>
        <w:rPr>
          <w:rFonts w:ascii="Times New Roman"/>
          <w:b w:val="false"/>
          <w:i w:val="false"/>
          <w:color w:val="000000"/>
          <w:sz w:val="28"/>
        </w:rPr>
        <w:t>
      жестокое обращение, приведшее к социальной дезадаптации и социальной депривации;</w:t>
      </w:r>
    </w:p>
    <w:bookmarkEnd w:id="44"/>
    <w:bookmarkStart w:name="z54" w:id="45"/>
    <w:p>
      <w:pPr>
        <w:spacing w:after="0"/>
        <w:ind w:left="0"/>
        <w:jc w:val="both"/>
      </w:pPr>
      <w:r>
        <w:rPr>
          <w:rFonts w:ascii="Times New Roman"/>
          <w:b w:val="false"/>
          <w:i w:val="false"/>
          <w:color w:val="000000"/>
          <w:sz w:val="28"/>
        </w:rPr>
        <w:t>
      бездомность (лица без определенного места жительства);</w:t>
      </w:r>
    </w:p>
    <w:bookmarkEnd w:id="45"/>
    <w:bookmarkStart w:name="z55" w:id="46"/>
    <w:p>
      <w:pPr>
        <w:spacing w:after="0"/>
        <w:ind w:left="0"/>
        <w:jc w:val="both"/>
      </w:pPr>
      <w:r>
        <w:rPr>
          <w:rFonts w:ascii="Times New Roman"/>
          <w:b w:val="false"/>
          <w:i w:val="false"/>
          <w:color w:val="000000"/>
          <w:sz w:val="28"/>
        </w:rPr>
        <w:t>
      освобождение из мест лишения свободы;</w:t>
      </w:r>
    </w:p>
    <w:bookmarkEnd w:id="46"/>
    <w:bookmarkStart w:name="z56" w:id="47"/>
    <w:p>
      <w:pPr>
        <w:spacing w:after="0"/>
        <w:ind w:left="0"/>
        <w:jc w:val="both"/>
      </w:pPr>
      <w:r>
        <w:rPr>
          <w:rFonts w:ascii="Times New Roman"/>
          <w:b w:val="false"/>
          <w:i w:val="false"/>
          <w:color w:val="000000"/>
          <w:sz w:val="28"/>
        </w:rPr>
        <w:t>
      нахождение на учете службы пробации.</w:t>
      </w:r>
    </w:p>
    <w:bookmarkEnd w:id="47"/>
    <w:bookmarkStart w:name="z57" w:id="48"/>
    <w:p>
      <w:pPr>
        <w:spacing w:after="0"/>
        <w:ind w:left="0"/>
        <w:jc w:val="both"/>
      </w:pPr>
      <w:r>
        <w:rPr>
          <w:rFonts w:ascii="Times New Roman"/>
          <w:b w:val="false"/>
          <w:i w:val="false"/>
          <w:color w:val="000000"/>
          <w:sz w:val="28"/>
        </w:rPr>
        <w:t>
      2) при причинении ущерба гражданину (семье) либо его имуществу вследствие стихийного бедствия или пожара, единовременно в пределах 100 (сто) месячных расчетных показателей с учетом среднедушевого дохода, не превышающего порога пятикратного размера прожиточного минимума, срок обращения при наступлении трудной жизненной ситуации не позднее шести месяцев с момента наступления данной ситуации;</w:t>
      </w:r>
    </w:p>
    <w:bookmarkEnd w:id="48"/>
    <w:bookmarkStart w:name="z58" w:id="49"/>
    <w:p>
      <w:pPr>
        <w:spacing w:after="0"/>
        <w:ind w:left="0"/>
        <w:jc w:val="both"/>
      </w:pPr>
      <w:r>
        <w:rPr>
          <w:rFonts w:ascii="Times New Roman"/>
          <w:b w:val="false"/>
          <w:i w:val="false"/>
          <w:color w:val="000000"/>
          <w:sz w:val="28"/>
        </w:rPr>
        <w:t>
      3) лицам (семьям) находящимся в трудной жизненной ситуации, в том числе имеющим социально значимые заболевание:</w:t>
      </w:r>
    </w:p>
    <w:bookmarkEnd w:id="49"/>
    <w:bookmarkStart w:name="z59" w:id="50"/>
    <w:p>
      <w:pPr>
        <w:spacing w:after="0"/>
        <w:ind w:left="0"/>
        <w:jc w:val="both"/>
      </w:pPr>
      <w:r>
        <w:rPr>
          <w:rFonts w:ascii="Times New Roman"/>
          <w:b w:val="false"/>
          <w:i w:val="false"/>
          <w:color w:val="000000"/>
          <w:sz w:val="28"/>
        </w:rPr>
        <w:t>
      лицам, больным с заболеванием туберкулез, в период амбулаторного лечения, периодически (ежемесячно) в пределах 12 (двенадцать) месячных расчетных показателей с учетом среднедушевого дохода, не превышающего порога пятикратного размера прожиточного минимума;</w:t>
      </w:r>
    </w:p>
    <w:bookmarkEnd w:id="50"/>
    <w:bookmarkStart w:name="z60" w:id="51"/>
    <w:p>
      <w:pPr>
        <w:spacing w:after="0"/>
        <w:ind w:left="0"/>
        <w:jc w:val="both"/>
      </w:pPr>
      <w:r>
        <w:rPr>
          <w:rFonts w:ascii="Times New Roman"/>
          <w:b w:val="false"/>
          <w:i w:val="false"/>
          <w:color w:val="000000"/>
          <w:sz w:val="28"/>
        </w:rPr>
        <w:t>
      родителям или иным законным представителям детей, по болезни вызванная вирусом иммунодефицита человека, периодически (ежемесячно) в размере пределах 24 (двадцати четырех) месячных расчетных показателей с учетом среднедушевого дохода, не превышающего порога пятикратного размера прожиточного минимума;</w:t>
      </w:r>
    </w:p>
    <w:bookmarkEnd w:id="51"/>
    <w:bookmarkStart w:name="z61" w:id="52"/>
    <w:p>
      <w:pPr>
        <w:spacing w:after="0"/>
        <w:ind w:left="0"/>
        <w:jc w:val="both"/>
      </w:pPr>
      <w:r>
        <w:rPr>
          <w:rFonts w:ascii="Times New Roman"/>
          <w:b w:val="false"/>
          <w:i w:val="false"/>
          <w:color w:val="000000"/>
          <w:sz w:val="28"/>
        </w:rPr>
        <w:t>
      больным с заболеваниями злокачественные новообразования, единовременно в пределах 30 (тридцать) месячных расчетных показателей с учетом среднедушевого дохода, не превышающего порога двухкратного размера прожиточного минимума;</w:t>
      </w:r>
    </w:p>
    <w:bookmarkEnd w:id="52"/>
    <w:bookmarkStart w:name="z62" w:id="53"/>
    <w:p>
      <w:pPr>
        <w:spacing w:after="0"/>
        <w:ind w:left="0"/>
        <w:jc w:val="both"/>
      </w:pPr>
      <w:r>
        <w:rPr>
          <w:rFonts w:ascii="Times New Roman"/>
          <w:b w:val="false"/>
          <w:i w:val="false"/>
          <w:color w:val="000000"/>
          <w:sz w:val="28"/>
        </w:rPr>
        <w:t>
      4) пенсионерам по возрасту, ветеранам Великой Отечественной войны, ветеранам, приравненным по льготам к ветеранам Великой Отечественной войны, ветеранам боевых действий на территории других государств прошедшим санаторно-курортное лечение единовременно с учетом среднедушевого дохода, не превышающего порога однократного прожиточного минимума в размере 30 (тридцать) месячных расчетных показателей.</w:t>
      </w:r>
    </w:p>
    <w:bookmarkEnd w:id="53"/>
    <w:bookmarkStart w:name="z63" w:id="54"/>
    <w:p>
      <w:pPr>
        <w:spacing w:after="0"/>
        <w:ind w:left="0"/>
        <w:jc w:val="both"/>
      </w:pPr>
      <w:r>
        <w:rPr>
          <w:rFonts w:ascii="Times New Roman"/>
          <w:b w:val="false"/>
          <w:i w:val="false"/>
          <w:color w:val="000000"/>
          <w:sz w:val="28"/>
        </w:rPr>
        <w:t>
      5) уязвимым слоям населения, имеющим детей, воспитывающихся и обучающихся в дошкольных организациях, со среднедушевым доходом не превышающего 1 (одного) прожиточного минимума (кроме семей-получателей государственной адресной социальной помощи), ежемесячно в размере 1 (одного) месячного расчетного показателя (назначается на текущий квартал с месяца обращения) на следующие категории:</w:t>
      </w:r>
    </w:p>
    <w:bookmarkEnd w:id="54"/>
    <w:bookmarkStart w:name="z64" w:id="55"/>
    <w:p>
      <w:pPr>
        <w:spacing w:after="0"/>
        <w:ind w:left="0"/>
        <w:jc w:val="both"/>
      </w:pPr>
      <w:r>
        <w:rPr>
          <w:rFonts w:ascii="Times New Roman"/>
          <w:b w:val="false"/>
          <w:i w:val="false"/>
          <w:color w:val="000000"/>
          <w:sz w:val="28"/>
        </w:rPr>
        <w:t>
      семьи, имеющие или воспитывающие детей с инвалидностью;</w:t>
      </w:r>
    </w:p>
    <w:bookmarkEnd w:id="55"/>
    <w:bookmarkStart w:name="z65" w:id="56"/>
    <w:p>
      <w:pPr>
        <w:spacing w:after="0"/>
        <w:ind w:left="0"/>
        <w:jc w:val="both"/>
      </w:pPr>
      <w:r>
        <w:rPr>
          <w:rFonts w:ascii="Times New Roman"/>
          <w:b w:val="false"/>
          <w:i w:val="false"/>
          <w:color w:val="000000"/>
          <w:sz w:val="28"/>
        </w:rPr>
        <w:t xml:space="preserve">
      лица, страдающие тяжелыми формами некоторых хронических заболеваний, перечисленных в списке заболеваний, утверждаемом уполномоченным органом в области здравоохранения; </w:t>
      </w:r>
    </w:p>
    <w:bookmarkEnd w:id="56"/>
    <w:bookmarkStart w:name="z66" w:id="57"/>
    <w:p>
      <w:pPr>
        <w:spacing w:after="0"/>
        <w:ind w:left="0"/>
        <w:jc w:val="both"/>
      </w:pPr>
      <w:r>
        <w:rPr>
          <w:rFonts w:ascii="Times New Roman"/>
          <w:b w:val="false"/>
          <w:i w:val="false"/>
          <w:color w:val="000000"/>
          <w:sz w:val="28"/>
        </w:rPr>
        <w:t xml:space="preserve">
      дети-сироты и дети, оставшиеся без попечения родителей; </w:t>
      </w:r>
    </w:p>
    <w:bookmarkEnd w:id="57"/>
    <w:bookmarkStart w:name="z67" w:id="58"/>
    <w:p>
      <w:pPr>
        <w:spacing w:after="0"/>
        <w:ind w:left="0"/>
        <w:jc w:val="both"/>
      </w:pPr>
      <w:r>
        <w:rPr>
          <w:rFonts w:ascii="Times New Roman"/>
          <w:b w:val="false"/>
          <w:i w:val="false"/>
          <w:color w:val="000000"/>
          <w:sz w:val="28"/>
        </w:rPr>
        <w:t xml:space="preserve">
      кандасы; </w:t>
      </w:r>
    </w:p>
    <w:bookmarkEnd w:id="58"/>
    <w:bookmarkStart w:name="z68" w:id="59"/>
    <w:p>
      <w:pPr>
        <w:spacing w:after="0"/>
        <w:ind w:left="0"/>
        <w:jc w:val="both"/>
      </w:pPr>
      <w:r>
        <w:rPr>
          <w:rFonts w:ascii="Times New Roman"/>
          <w:b w:val="false"/>
          <w:i w:val="false"/>
          <w:color w:val="000000"/>
          <w:sz w:val="28"/>
        </w:rPr>
        <w:t xml:space="preserve">
      лица, лишившиеся жилья в результате экологических бедствий, чрезвычайных ситуаций природного и техногенного характера; </w:t>
      </w:r>
    </w:p>
    <w:bookmarkEnd w:id="59"/>
    <w:bookmarkStart w:name="z69" w:id="60"/>
    <w:p>
      <w:pPr>
        <w:spacing w:after="0"/>
        <w:ind w:left="0"/>
        <w:jc w:val="both"/>
      </w:pPr>
      <w:r>
        <w:rPr>
          <w:rFonts w:ascii="Times New Roman"/>
          <w:b w:val="false"/>
          <w:i w:val="false"/>
          <w:color w:val="000000"/>
          <w:sz w:val="28"/>
        </w:rPr>
        <w:t>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многодетные семьи;</w:t>
      </w:r>
    </w:p>
    <w:bookmarkEnd w:id="60"/>
    <w:bookmarkStart w:name="z70" w:id="61"/>
    <w:p>
      <w:pPr>
        <w:spacing w:after="0"/>
        <w:ind w:left="0"/>
        <w:jc w:val="both"/>
      </w:pPr>
      <w:r>
        <w:rPr>
          <w:rFonts w:ascii="Times New Roman"/>
          <w:b w:val="false"/>
          <w:i w:val="false"/>
          <w:color w:val="000000"/>
          <w:sz w:val="28"/>
        </w:rPr>
        <w:t>
      неполные семьи;</w:t>
      </w:r>
    </w:p>
    <w:bookmarkEnd w:id="61"/>
    <w:bookmarkStart w:name="z71" w:id="62"/>
    <w:p>
      <w:pPr>
        <w:spacing w:after="0"/>
        <w:ind w:left="0"/>
        <w:jc w:val="both"/>
      </w:pPr>
      <w:r>
        <w:rPr>
          <w:rFonts w:ascii="Times New Roman"/>
          <w:b w:val="false"/>
          <w:i w:val="false"/>
          <w:color w:val="000000"/>
          <w:sz w:val="28"/>
        </w:rPr>
        <w:t>
      6) Единовременная социальная помощь на газификацию жилого дома: производится пенсионерам по возрасту, лицам с инвалидностью, семьям, имеющим или воспитывающим детей с инвалидностью, многодетным матерям и многодетным семьям, получателям адресной социальной помощи, ветеранам боевых действий на территории других государств, опекунам или попечителям ребенка-сироты (детей-сирот) и ребенка (детей), оставшегося без попечения родителей, проживающим в частных жилых домах, подлежащих газификации являющимися его собственниками, либо членами семьи собственника, при отсутствии у них и членов семьи другого жилья и наличии среднедушевого дохода, не превышающего 1,5 (полутра) прожиточного минимума.</w:t>
      </w:r>
    </w:p>
    <w:bookmarkEnd w:id="62"/>
    <w:bookmarkStart w:name="z72" w:id="63"/>
    <w:p>
      <w:pPr>
        <w:spacing w:after="0"/>
        <w:ind w:left="0"/>
        <w:jc w:val="both"/>
      </w:pPr>
      <w:r>
        <w:rPr>
          <w:rFonts w:ascii="Times New Roman"/>
          <w:b w:val="false"/>
          <w:i w:val="false"/>
          <w:color w:val="000000"/>
          <w:sz w:val="28"/>
        </w:rPr>
        <w:t>
      Размер социальной помощи определяется исходя из фактических затрат заявителя, связанных с подведением и установкой газового оборудования, но не более 100 (сто) месячных расчетных показателей.</w:t>
      </w:r>
    </w:p>
    <w:bookmarkEnd w:id="63"/>
    <w:bookmarkStart w:name="z73" w:id="64"/>
    <w:p>
      <w:pPr>
        <w:spacing w:after="0"/>
        <w:ind w:left="0"/>
        <w:jc w:val="both"/>
      </w:pPr>
      <w:r>
        <w:rPr>
          <w:rFonts w:ascii="Times New Roman"/>
          <w:b w:val="false"/>
          <w:i w:val="false"/>
          <w:color w:val="000000"/>
          <w:sz w:val="28"/>
        </w:rPr>
        <w:t>
      Для получения социальной помощи заявитель обращается в уполномоченный орган и дополнительно к перечню документов предусмотренных пунктом 13 Типовых правил, прилагает акт и/или документ, подтверждающий состоявшиеся расходы лица, связанные с подведением и установкой газового оборудования (копии чеков, квитанции, договор на оказание услуг) и справку об отсутствии (наличии) зарегистрированных прав на недвижимое имущество".</w:t>
      </w:r>
    </w:p>
    <w:bookmarkEnd w:id="64"/>
    <w:bookmarkStart w:name="z74" w:id="6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6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Байзакского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