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7040" w14:textId="54b7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Байзакском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30 марта 2022 года № 24-5. Зарегистрировано в Министерстве юстиции Республики Казахстан 6 апреля 2022 года № 27441. Утратило силу решением Байзакского районного маслихата Жамбылской области от 23 августа 2023 года № 7-12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23.08.2023 </w:t>
      </w:r>
      <w:r>
        <w:rPr>
          <w:rFonts w:ascii="Times New Roman"/>
          <w:b w:val="false"/>
          <w:i w:val="false"/>
          <w:color w:val="ff0000"/>
          <w:sz w:val="28"/>
        </w:rPr>
        <w:t>№ 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Байзакский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Байзакском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Байзакского районного маслихата: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Байзакского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Байзакском районе" от 19 августа 2016 года № 6-5 (Зарегистрированное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3159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Байзакского районного маслихата "О внесении изменений в решение Байзакского районного маслихата от 19 августа 2016 года № 6-5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Байзакском районе" от 25 августа 2020 года № 71-3(Зарегистрированное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4727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Байзакском районе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Байзакском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4286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Байзакского района Жамбылской области" ежеквартально на основании справки из учебного заведения, подтверждающей факт обучения ребенка-инвалида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 - 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инвалидов по индивидуальному учебному плану равен шести месячным расчетным показателям на каждого ребенка-инвалида ежеквартально на учебный год.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