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aa9" w14:textId="2032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15 декабря 2020 года № 72/675-6с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6 июня 2022 года № 17/155-VII. Зарегистрировано в Министерстве юстиции Республики Казахстан 20 июня 2022 года № 28527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 от 15 декабря 2020 года № 72/675-6с (зарегистрировано в Реестре государственной регистрации нормативных правовых актов под № 151)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Будесонид, суспензия для ингаляций дозированная 0,5 мг/мл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краниальная дистония-блефароспазм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внутримышечного и подкожного введения 500ЕД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таблетки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ингаляций 300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(Колистиметат), порошок для приготовления раствора для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Урсодезоксихолиевая кислота, капсулы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Нутриэн стандарт – сбалансированная полноценная смесь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белка,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резистентные формы эпилепсии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артрит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таблетки, покрытые оболочкой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мучная смесь для выпечки хлеба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сухие завтраки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 2,4 мг/мл, 5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 2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Дюшенна/Беккера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500 мг/10 мл (50 мг/мл)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Голодирсен, порошок для приготовления концентрата для приготовления раствора для инфузий 100 мг/2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 6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 30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белка, предназначенная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мягкий, нестерильный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Трахеотомическая трубка безманжетная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трахеотомическую трубку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 для наружного применения 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0,25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раствор для инъекций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белка,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старше 18 лет,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