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d702" w14:textId="758d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Уилского районного маслихата Актюбинской области от 24 декабря 2015 года № 277 "Об утверждении правил оказания социальной помощи, установления размеров и определения перечня отдельных категорий нуждающихся граждан в Уилском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Уилского районного маслихата Актюбинской области от 15 ноября 2022 года № 190. Зарегистрировано в Министерстве юстиции Республики Казахстан 23 ноября 2022 года № 30672. Утратило силу решением Уилского районного маслихата Актюбинской области от 31 августа 2023 года № 76</w:t>
      </w:r>
    </w:p>
    <w:p>
      <w:pPr>
        <w:spacing w:after="0"/>
        <w:ind w:left="0"/>
        <w:jc w:val="both"/>
      </w:pPr>
      <w:r>
        <w:rPr>
          <w:rFonts w:ascii="Times New Roman"/>
          <w:b w:val="false"/>
          <w:i w:val="false"/>
          <w:color w:val="ff0000"/>
          <w:sz w:val="28"/>
        </w:rPr>
        <w:t xml:space="preserve">
      Сноска. Утратило силу решением Уилского районного маслихата Актюбинской области от 31.08.2023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Уилский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Уилского районного маслихата Актюбинской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Уилском районе" от 24 декабря 2015 года № 277 (зарегистрировано в Реестре государственной регистрации нормативных правовых актов под № 4724) следующие изменения:</w:t>
      </w:r>
    </w:p>
    <w:bookmarkEnd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Уилском районе, утвержденных указанным решением: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День защитника Отечества - 7 мая:</w:t>
      </w:r>
    </w:p>
    <w:p>
      <w:pPr>
        <w:spacing w:after="0"/>
        <w:ind w:left="0"/>
        <w:jc w:val="both"/>
      </w:pPr>
      <w:r>
        <w:rPr>
          <w:rFonts w:ascii="Times New Roman"/>
          <w:b w:val="false"/>
          <w:i w:val="false"/>
          <w:color w:val="000000"/>
          <w:sz w:val="28"/>
        </w:rPr>
        <w:t xml:space="preserve">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 </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17 (семнадцать) месячных расчетных показателей.</w:t>
      </w:r>
    </w:p>
    <w:p>
      <w:pPr>
        <w:spacing w:after="0"/>
        <w:ind w:left="0"/>
        <w:jc w:val="both"/>
      </w:pPr>
      <w:r>
        <w:rPr>
          <w:rFonts w:ascii="Times New Roman"/>
          <w:b w:val="false"/>
          <w:i w:val="false"/>
          <w:color w:val="000000"/>
          <w:sz w:val="28"/>
        </w:rPr>
        <w:t>
      2)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2 000 000 (два миллиона)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p>
      <w:pPr>
        <w:spacing w:after="0"/>
        <w:ind w:left="0"/>
        <w:jc w:val="both"/>
      </w:pPr>
      <w:r>
        <w:rPr>
          <w:rFonts w:ascii="Times New Roman"/>
          <w:b w:val="false"/>
          <w:i w:val="false"/>
          <w:color w:val="000000"/>
          <w:sz w:val="28"/>
        </w:rPr>
        <w:t xml:space="preserve">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 </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(семнадцать)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17 (семнадцать)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17 (семнадцать) месячных расчетных показателей;</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17 (семнадцать) месячных расчетных показателей; </w:t>
      </w:r>
    </w:p>
    <w:p>
      <w:pPr>
        <w:spacing w:after="0"/>
        <w:ind w:left="0"/>
        <w:jc w:val="both"/>
      </w:pPr>
      <w:r>
        <w:rPr>
          <w:rFonts w:ascii="Times New Roman"/>
          <w:b w:val="false"/>
          <w:i w:val="false"/>
          <w:color w:val="000000"/>
          <w:sz w:val="28"/>
        </w:rPr>
        <w:t>
      лицам, проработавшим (прослужившим) не менее шести месяцев с</w:t>
      </w:r>
    </w:p>
    <w:p>
      <w:pPr>
        <w:spacing w:after="0"/>
        <w:ind w:left="0"/>
        <w:jc w:val="both"/>
      </w:pPr>
      <w:r>
        <w:rPr>
          <w:rFonts w:ascii="Times New Roman"/>
          <w:b w:val="false"/>
          <w:i w:val="false"/>
          <w:color w:val="000000"/>
          <w:sz w:val="28"/>
        </w:rPr>
        <w:t>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w:t>
      </w:r>
    </w:p>
    <w:p>
      <w:pPr>
        <w:spacing w:after="0"/>
        <w:ind w:left="0"/>
        <w:jc w:val="both"/>
      </w:pPr>
      <w:r>
        <w:rPr>
          <w:rFonts w:ascii="Times New Roman"/>
          <w:b w:val="false"/>
          <w:i w:val="false"/>
          <w:color w:val="000000"/>
          <w:sz w:val="28"/>
        </w:rPr>
        <w:t>
      17 (семнадцать)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w:t>
      </w:r>
    </w:p>
    <w:p>
      <w:pPr>
        <w:spacing w:after="0"/>
        <w:ind w:left="0"/>
        <w:jc w:val="both"/>
      </w:pPr>
      <w:r>
        <w:rPr>
          <w:rFonts w:ascii="Times New Roman"/>
          <w:b w:val="false"/>
          <w:i w:val="false"/>
          <w:color w:val="000000"/>
          <w:sz w:val="28"/>
        </w:rPr>
        <w:t>
      15 (пятнадцать)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33 (тридцать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3)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первой, второй, третьей группы, детям с инвалидностью до шестнадцати лет и детям с инвалидностью первой, второй, третьей группы с шестнадцати до восемнадцати лет, единовременно без учета среднедушевого дохода- в размере 17 (семнадцать) месячных расчетных показателей единовременно."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лицам с инвалидностью;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с учетом среднедушевого дохода лица (семьи), не превышающего порога полуторакратного размера прожиточного минимума - в размере 45 (сорок пять) месячных расчетных показателей, единовременно;</w:t>
      </w:r>
    </w:p>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 без учета среднедушевого дохода - в размере 80 (восемьдесят) месячных расчетных показателей, единовременно;</w:t>
      </w:r>
    </w:p>
    <w:p>
      <w:pPr>
        <w:spacing w:after="0"/>
        <w:ind w:left="0"/>
        <w:jc w:val="both"/>
      </w:pPr>
      <w:r>
        <w:rPr>
          <w:rFonts w:ascii="Times New Roman"/>
          <w:b w:val="false"/>
          <w:i w:val="false"/>
          <w:color w:val="000000"/>
          <w:sz w:val="28"/>
        </w:rPr>
        <w:t>
      3) лицам, состоящим на диспансерном учете с онкологическими заболеваниями и больным различной формой туберкулеза - ежемесячно в размере 7 (семь) месячных расчетных показателей, без учета среднедушевого дохода;</w:t>
      </w:r>
    </w:p>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Уилского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