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9d62" w14:textId="9d59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Мартукском районе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23 ноября 2022 года № 140. Зарегистрировано в Министерстве юстиции Республики Казахстан 2 декабря 2022 года № 30912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Мартукском районе Актюбинской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23 ноября 2022 года № 140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Мартукском районе Актюбинской области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Мартукском районе Актюбинской области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под № 22394) (далее – Правила возмещения затрат).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Мартукского районного маслихата Актюбинской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Мартукского района"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Мартукского районного маслихата Актюбинской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Мартукского районного маслихата Актюбинской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двум месячным расчетным показателям на каждого ребенка с инвалидностью ежемесячно.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