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e06d" w14:textId="f4be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платы за негативное воздействие на окружающую среду по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8 июня 2022 года № 139. Зарегистрировано в Министерстве юстиции Республики Казахстан 16 июня 2022 года № 28467. Утратило силу решением Актюбинского областного маслихата от 27 июня 2025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Актюбинского областного маслихата от 27.06.2025 № 232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"О налогах и других обязательных платежах в бюджет (Налоговый Кодекс)",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платы за негативное воздействие на окружающую среду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Актюбинского областного маслихата от 30 мая 2017 года № 160 "О внесении изменений в решения областного маслихата от 21 декабря 2009 года № 236 "О ставках платы за лесные пользования на участках государственного лесного фонда" и от 13 декабря 2010 года № 337 "О повышении ставок платы за эмиссии в окружающую среду" (зарегистрированное в Реестре государственной регистрации нормативных правовых актов № 5546).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8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захоронение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накопителях, на санкционированных свалках и в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серы в открытом виде на серных картах, образующейся при проведении операций по разведке и (или) добыче углеводородов, составляют 7,54 МРП за одну тонну.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