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06d" w14:textId="f4be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июня 2022 года № 139. Зарегистрировано в Министерстве юстиции Республики Казахстан 16 июня 2022 года № 28467. Утратило силу решением Актюбинского областного маслихата от 27 июня 2025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27.06.2025 № 232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 (Налоговый Кодекс)",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негативное воздействие на окружающую среду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Актюбинского областного маслихата от 30 мая 2017 года № 160 "О внесении изменений в решения областного маслихата от 21 декабря 2009 года № 236 "О ставках платы за лесные пользования на участках государственного лесного фонда" и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5546).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